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2F895C00"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 xml:space="preserve">3GPP TSG RAN WG2 </w:t>
      </w:r>
      <w:r w:rsidR="00A13B63" w:rsidRPr="00A13B63">
        <w:rPr>
          <w:rFonts w:ascii="Arial" w:hAnsi="Arial" w:cs="Arial"/>
          <w:sz w:val="22"/>
          <w:lang w:val="en-US"/>
        </w:rPr>
        <w:t>#122 Incheon, KR</w:t>
      </w:r>
      <w:r w:rsidRPr="005945FC">
        <w:rPr>
          <w:rFonts w:ascii="Arial" w:hAnsi="Arial" w:cs="Arial"/>
          <w:sz w:val="22"/>
          <w:lang w:val="en-US"/>
        </w:rPr>
        <w:tab/>
      </w:r>
      <w:r w:rsidR="00657446" w:rsidRPr="005945FC">
        <w:rPr>
          <w:rFonts w:ascii="Arial" w:hAnsi="Arial" w:cs="Arial"/>
          <w:sz w:val="22"/>
          <w:lang w:val="en-US"/>
        </w:rPr>
        <w:t>R2-230</w:t>
      </w:r>
      <w:r w:rsidR="00EF5C1A">
        <w:rPr>
          <w:rFonts w:ascii="Arial" w:eastAsiaTheme="minorEastAsia" w:hAnsi="Arial" w:cs="Arial"/>
          <w:sz w:val="22"/>
          <w:lang w:val="en-US"/>
        </w:rPr>
        <w:t>5607</w:t>
      </w:r>
    </w:p>
    <w:bookmarkEnd w:id="0"/>
    <w:p w14:paraId="70C65F51" w14:textId="78FF1DEA" w:rsidR="005945FC" w:rsidRDefault="00A13B63" w:rsidP="00CD4C7B">
      <w:pPr>
        <w:pStyle w:val="a3"/>
        <w:rPr>
          <w:rFonts w:eastAsia="Times New Roman" w:cs="Arial"/>
          <w:noProof w:val="0"/>
          <w:sz w:val="22"/>
          <w:lang w:val="en-US" w:eastAsia="zh-CN"/>
        </w:rPr>
      </w:pPr>
      <w:r w:rsidRPr="00A13B63">
        <w:rPr>
          <w:rFonts w:eastAsia="Times New Roman" w:cs="Arial"/>
          <w:noProof w:val="0"/>
          <w:sz w:val="22"/>
          <w:lang w:val="en-US" w:eastAsia="zh-CN"/>
        </w:rPr>
        <w:t>May 22nd-26th, 2023</w:t>
      </w:r>
    </w:p>
    <w:p w14:paraId="7888D9EF" w14:textId="77777777" w:rsidR="00A13B63" w:rsidRPr="00543C8D" w:rsidRDefault="00A13B63" w:rsidP="00CD4C7B">
      <w:pPr>
        <w:pStyle w:val="a3"/>
        <w:rPr>
          <w:rFonts w:eastAsia="MS Mincho"/>
          <w:bCs/>
          <w:noProof w:val="0"/>
          <w:sz w:val="24"/>
          <w:lang w:val="en-US"/>
        </w:rPr>
      </w:pPr>
    </w:p>
    <w:p w14:paraId="4A3BC02F" w14:textId="5A0FE3AE"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sidR="0007150B">
        <w:rPr>
          <w:rFonts w:cs="Arial"/>
          <w:b/>
          <w:bCs/>
          <w:sz w:val="24"/>
        </w:rPr>
        <w:t xml:space="preserve">: </w:t>
      </w:r>
      <w:r>
        <w:rPr>
          <w:rFonts w:cs="Arial"/>
          <w:b/>
          <w:bCs/>
          <w:sz w:val="24"/>
        </w:rPr>
        <w:tab/>
      </w:r>
      <w:r w:rsidR="00EF5C1A">
        <w:rPr>
          <w:rFonts w:cs="Arial"/>
          <w:b/>
          <w:bCs/>
          <w:sz w:val="24"/>
        </w:rPr>
        <w:t>7</w:t>
      </w:r>
      <w:r w:rsidR="007542F0" w:rsidRPr="00657446">
        <w:rPr>
          <w:rFonts w:eastAsia="宋体" w:cs="Arial" w:hint="eastAsia"/>
          <w:b/>
          <w:bCs/>
          <w:sz w:val="24"/>
          <w:lang w:eastAsia="zh-CN"/>
        </w:rPr>
        <w:t>.</w:t>
      </w:r>
      <w:r w:rsidR="00EF5C1A">
        <w:rPr>
          <w:rFonts w:eastAsia="宋体" w:cs="Arial"/>
          <w:b/>
          <w:bCs/>
          <w:sz w:val="24"/>
          <w:lang w:eastAsia="zh-CN"/>
        </w:rPr>
        <w:t>14</w:t>
      </w:r>
      <w:r w:rsidR="00D30013" w:rsidRPr="00657446">
        <w:rPr>
          <w:rFonts w:eastAsia="宋体" w:cs="Arial"/>
          <w:b/>
          <w:bCs/>
          <w:sz w:val="24"/>
          <w:lang w:eastAsia="zh-CN"/>
        </w:rPr>
        <w:t>.</w:t>
      </w:r>
      <w:r w:rsidR="00EF5C1A">
        <w:rPr>
          <w:rFonts w:eastAsia="宋体" w:cs="Arial"/>
          <w:b/>
          <w:bCs/>
          <w:sz w:val="24"/>
          <w:lang w:eastAsia="zh-CN"/>
        </w:rPr>
        <w:t>4</w:t>
      </w:r>
    </w:p>
    <w:p w14:paraId="7148A656" w14:textId="10C9B1D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0007150B">
        <w:rPr>
          <w:rFonts w:ascii="Arial" w:hAnsi="Arial" w:cs="Arial"/>
          <w:b/>
          <w:bCs/>
          <w:sz w:val="24"/>
        </w:rPr>
        <w:t xml:space="preserve">: </w:t>
      </w:r>
      <w:r w:rsidRPr="00B266B0">
        <w:rPr>
          <w:rFonts w:ascii="Arial" w:hAnsi="Arial" w:cs="Arial"/>
          <w:b/>
          <w:bCs/>
          <w:sz w:val="24"/>
        </w:rPr>
        <w:tab/>
      </w:r>
      <w:r w:rsidR="009B05FC">
        <w:rPr>
          <w:rFonts w:ascii="Arial" w:hAnsi="Arial" w:cs="Arial"/>
          <w:b/>
          <w:bCs/>
          <w:sz w:val="24"/>
        </w:rPr>
        <w:t>CMCC</w:t>
      </w:r>
    </w:p>
    <w:p w14:paraId="0B22143A" w14:textId="66FBB447"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0007150B">
        <w:rPr>
          <w:rFonts w:ascii="Arial" w:hAnsi="Arial" w:cs="Arial"/>
          <w:b/>
          <w:bCs/>
          <w:sz w:val="24"/>
        </w:rPr>
        <w:t xml:space="preserve">: </w:t>
      </w:r>
      <w:r w:rsidRPr="00B266B0">
        <w:rPr>
          <w:rFonts w:ascii="Arial" w:hAnsi="Arial" w:cs="Arial"/>
          <w:b/>
          <w:bCs/>
          <w:sz w:val="24"/>
        </w:rPr>
        <w:tab/>
      </w:r>
      <w:r w:rsidR="005945FC">
        <w:rPr>
          <w:rFonts w:ascii="Arial" w:hAnsi="Arial" w:cs="Arial" w:hint="eastAsia"/>
          <w:b/>
          <w:bCs/>
          <w:sz w:val="24"/>
          <w:lang w:eastAsia="zh-CN"/>
        </w:rPr>
        <w:t>Consideration</w:t>
      </w:r>
      <w:r w:rsidR="005945FC">
        <w:rPr>
          <w:rFonts w:ascii="Arial" w:hAnsi="Arial" w:cs="Arial"/>
          <w:b/>
          <w:bCs/>
          <w:sz w:val="24"/>
        </w:rPr>
        <w:t xml:space="preserve"> </w:t>
      </w:r>
      <w:r w:rsidR="005945FC">
        <w:rPr>
          <w:rFonts w:ascii="Arial" w:hAnsi="Arial" w:cs="Arial" w:hint="eastAsia"/>
          <w:b/>
          <w:bCs/>
          <w:sz w:val="24"/>
          <w:lang w:eastAsia="zh-CN"/>
        </w:rPr>
        <w:t>on</w:t>
      </w:r>
      <w:r w:rsidR="005945FC">
        <w:rPr>
          <w:rFonts w:ascii="Arial" w:hAnsi="Arial" w:cs="Arial"/>
          <w:b/>
          <w:bCs/>
          <w:sz w:val="24"/>
        </w:rPr>
        <w:t xml:space="preserve"> </w:t>
      </w:r>
      <w:r w:rsidR="008A7522">
        <w:rPr>
          <w:rFonts w:ascii="Arial" w:hAnsi="Arial" w:cs="Arial" w:hint="eastAsia"/>
          <w:b/>
          <w:bCs/>
          <w:sz w:val="24"/>
          <w:lang w:eastAsia="zh-CN"/>
        </w:rPr>
        <w:t>QoE</w:t>
      </w:r>
      <w:r w:rsidR="008A7522">
        <w:rPr>
          <w:rFonts w:ascii="Arial" w:hAnsi="Arial" w:cs="Arial"/>
          <w:b/>
          <w:bCs/>
          <w:sz w:val="24"/>
          <w:lang w:eastAsia="zh-CN"/>
        </w:rPr>
        <w:t xml:space="preserve"> </w:t>
      </w:r>
      <w:r w:rsidR="008A7522">
        <w:rPr>
          <w:rFonts w:ascii="Arial" w:hAnsi="Arial" w:cs="Arial" w:hint="eastAsia"/>
          <w:b/>
          <w:bCs/>
          <w:sz w:val="24"/>
          <w:lang w:eastAsia="zh-CN"/>
        </w:rPr>
        <w:t>measurement</w:t>
      </w:r>
      <w:r w:rsidR="008A7522">
        <w:rPr>
          <w:rFonts w:ascii="Arial" w:hAnsi="Arial" w:cs="Arial"/>
          <w:b/>
          <w:bCs/>
          <w:sz w:val="24"/>
          <w:lang w:eastAsia="zh-CN"/>
        </w:rPr>
        <w:t xml:space="preserve"> </w:t>
      </w:r>
      <w:r w:rsidR="00A76255">
        <w:rPr>
          <w:rFonts w:ascii="Arial" w:hAnsi="Arial" w:cs="Arial"/>
          <w:b/>
          <w:bCs/>
          <w:sz w:val="24"/>
          <w:lang w:eastAsia="zh-CN"/>
        </w:rPr>
        <w:t>for</w:t>
      </w:r>
      <w:r w:rsidR="008A7522">
        <w:rPr>
          <w:rFonts w:ascii="Arial" w:hAnsi="Arial" w:cs="Arial"/>
          <w:b/>
          <w:bCs/>
          <w:sz w:val="24"/>
          <w:lang w:eastAsia="zh-CN"/>
        </w:rPr>
        <w:t xml:space="preserve"> </w:t>
      </w:r>
      <w:r w:rsidR="002B4C79">
        <w:rPr>
          <w:rFonts w:ascii="Arial" w:hAnsi="Arial" w:cs="Arial"/>
          <w:b/>
          <w:bCs/>
          <w:sz w:val="24"/>
          <w:lang w:eastAsia="zh-CN"/>
        </w:rPr>
        <w:t>NR-DC</w:t>
      </w:r>
    </w:p>
    <w:p w14:paraId="356EA699" w14:textId="6C580328"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7150B">
        <w:rPr>
          <w:rFonts w:ascii="Arial" w:hAnsi="Arial" w:cs="Arial"/>
          <w:b/>
          <w:bCs/>
          <w:sz w:val="24"/>
        </w:rPr>
        <w:t xml:space="preserve">: </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098DB0A3" w:rsidR="00B9114D" w:rsidRDefault="00A13B63" w:rsidP="004D2113">
      <w:pPr>
        <w:overflowPunct w:val="0"/>
        <w:autoSpaceDE w:val="0"/>
        <w:autoSpaceDN w:val="0"/>
        <w:adjustRightInd w:val="0"/>
        <w:textAlignment w:val="baseline"/>
        <w:rPr>
          <w:lang w:val="sv-SE" w:eastAsia="zh-CN"/>
        </w:rPr>
      </w:pPr>
      <w:bookmarkStart w:id="1" w:name="_Hlk127457838"/>
      <w:bookmarkStart w:id="2" w:name="_Hlk127457765"/>
      <w:r w:rsidRPr="00A13B63">
        <w:rPr>
          <w:lang w:val="sv-SE" w:eastAsia="zh-CN"/>
        </w:rPr>
        <w:t xml:space="preserve">In RAN2 121bis-e[1], </w:t>
      </w:r>
      <w:r w:rsidR="00B9114D" w:rsidRPr="00B9114D">
        <w:rPr>
          <w:lang w:val="sv-SE" w:eastAsia="zh-CN"/>
        </w:rPr>
        <w:t xml:space="preserve">consensus </w:t>
      </w:r>
      <w:bookmarkEnd w:id="1"/>
      <w:r w:rsidR="00B9114D" w:rsidRPr="00B9114D">
        <w:rPr>
          <w:lang w:val="sv-SE" w:eastAsia="zh-CN"/>
        </w:rPr>
        <w:t xml:space="preserve">has been reached on </w:t>
      </w:r>
      <w:r w:rsidR="00672FBE">
        <w:rPr>
          <w:lang w:val="sv-SE" w:eastAsia="zh-CN"/>
        </w:rPr>
        <w:t>NR-DC</w:t>
      </w:r>
      <w:r w:rsidR="00B9114D" w:rsidRPr="00B9114D">
        <w:rPr>
          <w:lang w:val="sv-SE" w:eastAsia="zh-CN"/>
        </w:rPr>
        <w:t>, and several specific measures were agreed upon</w:t>
      </w:r>
      <w:r w:rsidR="009618C2">
        <w:rPr>
          <w:lang w:val="sv-SE" w:eastAsia="zh-CN"/>
        </w:rPr>
        <w:t xml:space="preserve"> and leaving some FFSs</w:t>
      </w:r>
      <w:r w:rsidR="00B9114D" w:rsidRPr="00B9114D">
        <w:rPr>
          <w:lang w:val="sv-SE" w:eastAsia="zh-CN"/>
        </w:rPr>
        <w:t xml:space="preserve">. These </w:t>
      </w:r>
      <w:r w:rsidR="009618C2">
        <w:rPr>
          <w:lang w:val="sv-SE" w:eastAsia="zh-CN"/>
        </w:rPr>
        <w:t>FFSs</w:t>
      </w:r>
      <w:r w:rsidR="00211B0E" w:rsidRPr="00B9114D">
        <w:rPr>
          <w:lang w:val="sv-SE" w:eastAsia="zh-CN"/>
        </w:rPr>
        <w:t xml:space="preserve"> </w:t>
      </w:r>
      <w:r w:rsidR="00B9114D" w:rsidRPr="00B9114D">
        <w:rPr>
          <w:lang w:val="sv-SE" w:eastAsia="zh-CN"/>
        </w:rPr>
        <w:t>include the following</w:t>
      </w:r>
      <w:r w:rsidR="0007150B">
        <w:rPr>
          <w:lang w:val="sv-SE" w:eastAsia="zh-CN"/>
        </w:rPr>
        <w:t xml:space="preserve">: </w:t>
      </w:r>
    </w:p>
    <w:bookmarkEnd w:id="2"/>
    <w:p w14:paraId="103A4117" w14:textId="77777777" w:rsidR="00672FBE" w:rsidRPr="00672FBE" w:rsidRDefault="00672FBE" w:rsidP="00672FBE">
      <w:pPr>
        <w:pStyle w:val="Agreement"/>
        <w:rPr>
          <w:rFonts w:ascii="Calibri" w:hAnsi="Calibri" w:cs="Calibri"/>
          <w:sz w:val="22"/>
          <w:szCs w:val="22"/>
          <w:lang w:val="en-GB"/>
        </w:rPr>
      </w:pPr>
      <w:r w:rsidRPr="00672FBE">
        <w:rPr>
          <w:rFonts w:ascii="Calibri" w:hAnsi="Calibri" w:cs="Calibri"/>
          <w:sz w:val="22"/>
          <w:szCs w:val="22"/>
          <w:lang w:val="en-GB"/>
        </w:rPr>
        <w:t>As a baseline, Rel-17 pause/resume procedure is reused to pause/resume reporting of one or multiple QoE measurement configurations in a UE for NR-DC. Details are FFS, e.g. whether paused QoE reports can be reported to SN (if SN is not overload).</w:t>
      </w:r>
    </w:p>
    <w:p w14:paraId="207567D0" w14:textId="77777777" w:rsidR="009F54F9" w:rsidRPr="009F54F9" w:rsidRDefault="009F54F9" w:rsidP="009F54F9">
      <w:pPr>
        <w:pStyle w:val="Agreement"/>
        <w:rPr>
          <w:rFonts w:ascii="Calibri" w:hAnsi="Calibri" w:cs="Calibri"/>
          <w:sz w:val="22"/>
          <w:szCs w:val="22"/>
          <w:lang w:val="en-GB"/>
        </w:rPr>
      </w:pPr>
      <w:r w:rsidRPr="009F54F9">
        <w:rPr>
          <w:rFonts w:ascii="Calibri" w:hAnsi="Calibri" w:cs="Calibri"/>
          <w:sz w:val="22"/>
          <w:szCs w:val="22"/>
          <w:lang w:val="en-GB"/>
        </w:rPr>
        <w:t>The network can optionally explicitly indicate the SRB for the QoE reporting if both SRB4 and SRB5 are configured. FFS on the granularity, e.g. per QoE config or otherwise.</w:t>
      </w:r>
    </w:p>
    <w:p w14:paraId="696DBA9D" w14:textId="4EA99AA5" w:rsidR="001B38CB" w:rsidRPr="001B38CB" w:rsidRDefault="001B38CB" w:rsidP="001B38CB">
      <w:pPr>
        <w:pStyle w:val="Agreement"/>
        <w:rPr>
          <w:rFonts w:ascii="Calibri" w:hAnsi="Calibri" w:cs="Calibri"/>
          <w:sz w:val="22"/>
          <w:szCs w:val="22"/>
          <w:lang w:val="en-GB"/>
        </w:rPr>
      </w:pPr>
      <w:r w:rsidRPr="001B38CB">
        <w:rPr>
          <w:rFonts w:ascii="Calibri" w:hAnsi="Calibri" w:cs="Calibri"/>
          <w:sz w:val="22"/>
          <w:szCs w:val="22"/>
          <w:lang w:val="en-GB"/>
        </w:rPr>
        <w:t>MN- or SN-associated QoE reports can use either SRB4 or SRB5 if only one of SRB4 or SRB5 is configured for the UE. FFS whether network configuration is needed</w:t>
      </w:r>
    </w:p>
    <w:p w14:paraId="6D8763EB" w14:textId="0278EFEB" w:rsidR="001B38CB" w:rsidRPr="001B38CB" w:rsidRDefault="001B38CB" w:rsidP="00BC139F">
      <w:pPr>
        <w:pStyle w:val="Agreement"/>
        <w:rPr>
          <w:rFonts w:ascii="Calibri" w:hAnsi="Calibri" w:cs="Calibri"/>
          <w:sz w:val="22"/>
          <w:szCs w:val="22"/>
          <w:lang w:val="en-GB"/>
        </w:rPr>
      </w:pPr>
      <w:r w:rsidRPr="001B38CB">
        <w:rPr>
          <w:rFonts w:ascii="Calibri" w:hAnsi="Calibri" w:cs="Calibri"/>
          <w:sz w:val="22"/>
          <w:szCs w:val="22"/>
          <w:lang w:val="en-GB"/>
        </w:rPr>
        <w:t>For NR-DC, if SRB5 is not configured (FFS on the SCG deactivation case), UE can transmit the SN-associated QoE reports via SRB4. FFS whether there are some ambiguities how MN knows where to forward this.</w:t>
      </w:r>
    </w:p>
    <w:p w14:paraId="5AC650D8" w14:textId="644E5696" w:rsidR="001B38CB" w:rsidRPr="001B38CB" w:rsidRDefault="001B38CB" w:rsidP="001B38CB">
      <w:pPr>
        <w:pStyle w:val="Agreement"/>
        <w:rPr>
          <w:rFonts w:ascii="Calibri" w:hAnsi="Calibri" w:cs="Calibri"/>
          <w:sz w:val="22"/>
          <w:szCs w:val="22"/>
          <w:lang w:val="en-GB"/>
        </w:rPr>
      </w:pPr>
      <w:r w:rsidRPr="001B38CB">
        <w:rPr>
          <w:rFonts w:ascii="Calibri" w:hAnsi="Calibri" w:cs="Calibri"/>
          <w:sz w:val="22"/>
          <w:szCs w:val="22"/>
          <w:lang w:val="en-GB"/>
        </w:rPr>
        <w:t>FFS pending RAN3 decisions</w:t>
      </w:r>
      <w:r w:rsidR="0007150B">
        <w:rPr>
          <w:rFonts w:ascii="Calibri" w:hAnsi="Calibri" w:cs="Calibri"/>
          <w:sz w:val="22"/>
          <w:szCs w:val="22"/>
          <w:lang w:val="en-GB"/>
        </w:rPr>
        <w:t xml:space="preserve">: </w:t>
      </w:r>
      <w:r w:rsidRPr="001B38CB">
        <w:rPr>
          <w:rFonts w:ascii="Calibri" w:hAnsi="Calibri" w:cs="Calibri"/>
          <w:sz w:val="22"/>
          <w:szCs w:val="22"/>
          <w:lang w:val="en-GB"/>
        </w:rPr>
        <w:t xml:space="preserve"> Whether RVQoE reports and encapsulated QoE reports are reported together to the same node (MN or SN) in NR-DC.</w:t>
      </w:r>
    </w:p>
    <w:p w14:paraId="5C29B0F4" w14:textId="4F0F5C59" w:rsidR="001B38CB" w:rsidRPr="001B38CB" w:rsidRDefault="001B38CB" w:rsidP="001B38CB">
      <w:pPr>
        <w:pStyle w:val="Agreement"/>
        <w:rPr>
          <w:rFonts w:ascii="Calibri" w:hAnsi="Calibri" w:cs="Calibri"/>
          <w:sz w:val="22"/>
          <w:szCs w:val="22"/>
          <w:lang w:val="en-GB"/>
        </w:rPr>
      </w:pPr>
      <w:r w:rsidRPr="001B38CB">
        <w:rPr>
          <w:rFonts w:ascii="Calibri" w:hAnsi="Calibri" w:cs="Calibri"/>
          <w:sz w:val="22"/>
          <w:szCs w:val="22"/>
          <w:lang w:val="en-GB"/>
        </w:rPr>
        <w:t>For SRB switching in NR-DC scenario, FFS on the explicit indication and implicit indication, e.g. signaling impacts, details on UE/NW behaviours.</w:t>
      </w:r>
    </w:p>
    <w:p w14:paraId="26E6507C" w14:textId="4ED9E4B7"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w:t>
      </w:r>
      <w:r w:rsidR="008B437A">
        <w:t>comprehensive</w:t>
      </w:r>
      <w:r w:rsidR="00373774">
        <w:t xml:space="preserve"> discussion on </w:t>
      </w:r>
      <w:r w:rsidR="00EE2A6A">
        <w:rPr>
          <w:lang w:val="sv-SE" w:eastAsia="zh-CN"/>
        </w:rPr>
        <w:t xml:space="preserve">QMC in </w:t>
      </w:r>
      <w:r w:rsidR="001B38CB">
        <w:rPr>
          <w:lang w:val="sv-SE" w:eastAsia="zh-CN"/>
        </w:rPr>
        <w:t>NR-DC</w:t>
      </w:r>
      <w:r w:rsidR="00373774">
        <w:t xml:space="preserve"> will be </w:t>
      </w:r>
      <w:r w:rsidR="007D1341">
        <w:rPr>
          <w:rFonts w:hint="eastAsia"/>
          <w:lang w:eastAsia="zh-CN"/>
        </w:rPr>
        <w:t>conducted</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29025175" w:rsidR="0041744B" w:rsidRPr="008419A0"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8419A0">
        <w:rPr>
          <w:lang w:eastAsia="zh-CN"/>
        </w:rPr>
        <w:t>Q</w:t>
      </w:r>
      <w:r w:rsidR="0007150B">
        <w:rPr>
          <w:lang w:eastAsia="zh-CN"/>
        </w:rPr>
        <w:t>oE</w:t>
      </w:r>
      <w:r w:rsidR="008419A0">
        <w:rPr>
          <w:lang w:eastAsia="zh-CN"/>
        </w:rPr>
        <w:t xml:space="preserve"> configuration</w:t>
      </w:r>
      <w:r w:rsidR="00F06CF7">
        <w:rPr>
          <w:lang w:eastAsia="zh-CN"/>
        </w:rPr>
        <w:t xml:space="preserve"> </w:t>
      </w:r>
      <w:r w:rsidR="00F06CF7">
        <w:rPr>
          <w:rFonts w:hint="eastAsia"/>
          <w:lang w:eastAsia="zh-CN"/>
        </w:rPr>
        <w:t>in</w:t>
      </w:r>
      <w:r w:rsidR="00F06CF7">
        <w:rPr>
          <w:lang w:eastAsia="zh-CN"/>
        </w:rPr>
        <w:t xml:space="preserve"> </w:t>
      </w:r>
      <w:r w:rsidR="00F06CF7">
        <w:rPr>
          <w:rFonts w:hint="eastAsia"/>
          <w:lang w:eastAsia="zh-CN"/>
        </w:rPr>
        <w:t>NR</w:t>
      </w:r>
      <w:r w:rsidR="00F06CF7">
        <w:rPr>
          <w:lang w:eastAsia="zh-CN"/>
        </w:rPr>
        <w:t>-DC</w:t>
      </w:r>
    </w:p>
    <w:p w14:paraId="51BF5C61" w14:textId="253E6100" w:rsidR="00B66B12" w:rsidRDefault="00B66B12" w:rsidP="00B66B12">
      <w:pPr>
        <w:rPr>
          <w:lang w:eastAsia="zh-CN"/>
        </w:rPr>
      </w:pPr>
      <w:r>
        <w:rPr>
          <w:lang w:eastAsia="zh-CN"/>
        </w:rPr>
        <w:t xml:space="preserve">Since the QoE measurement collection job that the UE can perform is limited. In R17, </w:t>
      </w:r>
      <w:r w:rsidRPr="00E751E2">
        <w:rPr>
          <w:i/>
          <w:iCs/>
          <w:lang w:eastAsia="zh-CN"/>
        </w:rPr>
        <w:t>maxNrofAppLayerMeas-r17</w:t>
      </w:r>
      <w:r w:rsidR="00E751E2">
        <w:rPr>
          <w:lang w:eastAsia="zh-CN"/>
        </w:rPr>
        <w:t xml:space="preserve"> is introduced</w:t>
      </w:r>
      <w:r>
        <w:rPr>
          <w:lang w:eastAsia="zh-CN"/>
        </w:rPr>
        <w:t xml:space="preserve"> to indicate the maximum number of simultaneous QMCs supported by the terminal, which is currently 16. Therefore, in the NR-DC scenario due to the presence of both MCG and SCG, it is necessary to require MN and SN Confirm that the number of configured QMCs does not exceed this maximum</w:t>
      </w:r>
    </w:p>
    <w:p w14:paraId="3D8F75F6" w14:textId="3262CC71" w:rsidR="00485882" w:rsidRDefault="00B66B12" w:rsidP="00B66B12">
      <w:pPr>
        <w:rPr>
          <w:lang w:eastAsia="zh-CN"/>
        </w:rPr>
      </w:pPr>
      <w:r>
        <w:rPr>
          <w:lang w:eastAsia="zh-CN"/>
        </w:rPr>
        <w:t xml:space="preserve">On the other hand, RAN2 should also discuss whether to increase the maximum number of simultaneous QMCs for </w:t>
      </w:r>
      <w:r w:rsidR="00F40629">
        <w:rPr>
          <w:lang w:eastAsia="zh-CN"/>
        </w:rPr>
        <w:t>NR-DC, since both MCG and SCG can perform QMC jobs.</w:t>
      </w:r>
    </w:p>
    <w:p w14:paraId="1AE17D98" w14:textId="44AC46AA" w:rsidR="00052EE2" w:rsidRPr="007B4BDB" w:rsidRDefault="00052EE2" w:rsidP="00B66B12">
      <w:pPr>
        <w:rPr>
          <w:b/>
          <w:bCs/>
          <w:lang w:eastAsia="zh-CN"/>
        </w:rPr>
      </w:pPr>
      <w:r w:rsidRPr="00052EE2">
        <w:rPr>
          <w:rFonts w:hint="eastAsia"/>
          <w:b/>
          <w:bCs/>
          <w:lang w:eastAsia="zh-CN"/>
        </w:rPr>
        <w:lastRenderedPageBreak/>
        <w:t>Proposal 1</w:t>
      </w:r>
      <w:r w:rsidR="0007150B">
        <w:rPr>
          <w:rFonts w:hint="eastAsia"/>
          <w:b/>
          <w:bCs/>
          <w:lang w:eastAsia="zh-CN"/>
        </w:rPr>
        <w:t xml:space="preserve">: </w:t>
      </w:r>
      <w:r w:rsidRPr="00052EE2">
        <w:rPr>
          <w:rFonts w:hint="eastAsia"/>
          <w:b/>
          <w:bCs/>
          <w:lang w:eastAsia="zh-CN"/>
        </w:rPr>
        <w:t xml:space="preserve">MN and SN should </w:t>
      </w:r>
      <w:r w:rsidR="007B4BDB">
        <w:rPr>
          <w:b/>
          <w:bCs/>
          <w:lang w:eastAsia="zh-CN"/>
        </w:rPr>
        <w:t xml:space="preserve">be able to coordinate and </w:t>
      </w:r>
      <w:r w:rsidRPr="00052EE2">
        <w:rPr>
          <w:rFonts w:hint="eastAsia"/>
          <w:b/>
          <w:bCs/>
          <w:lang w:eastAsia="zh-CN"/>
        </w:rPr>
        <w:t xml:space="preserve">ensure the max number of </w:t>
      </w:r>
      <w:r w:rsidRPr="00052EE2">
        <w:rPr>
          <w:b/>
          <w:bCs/>
          <w:lang w:eastAsia="zh-CN"/>
        </w:rPr>
        <w:t>simultaneously</w:t>
      </w:r>
      <w:r w:rsidRPr="00052EE2">
        <w:rPr>
          <w:rFonts w:hint="eastAsia"/>
          <w:b/>
          <w:bCs/>
          <w:lang w:eastAsia="zh-CN"/>
        </w:rPr>
        <w:t xml:space="preserve"> QoE measurement collection will not exceed </w:t>
      </w:r>
      <w:r w:rsidRPr="007B4BDB">
        <w:rPr>
          <w:rFonts w:hint="eastAsia"/>
          <w:b/>
          <w:bCs/>
          <w:i/>
          <w:iCs/>
          <w:lang w:eastAsia="zh-CN"/>
        </w:rPr>
        <w:t>maxNrofAppLayerMeas-r17</w:t>
      </w:r>
      <w:r w:rsidRPr="00052EE2">
        <w:rPr>
          <w:rFonts w:hint="eastAsia"/>
          <w:b/>
          <w:bCs/>
          <w:lang w:eastAsia="zh-CN"/>
        </w:rPr>
        <w:t xml:space="preserve">. FFS </w:t>
      </w:r>
      <w:r w:rsidRPr="00052EE2">
        <w:rPr>
          <w:b/>
          <w:bCs/>
          <w:lang w:eastAsia="zh-CN"/>
        </w:rPr>
        <w:t>whether</w:t>
      </w:r>
      <w:r w:rsidRPr="00052EE2">
        <w:rPr>
          <w:rFonts w:hint="eastAsia"/>
          <w:b/>
          <w:bCs/>
          <w:lang w:eastAsia="zh-CN"/>
        </w:rPr>
        <w:t xml:space="preserve"> to </w:t>
      </w:r>
      <w:r w:rsidR="00267F9A">
        <w:rPr>
          <w:b/>
          <w:bCs/>
          <w:lang w:eastAsia="zh-CN"/>
        </w:rPr>
        <w:t xml:space="preserve">introduce new parameter or </w:t>
      </w:r>
      <w:r w:rsidRPr="00052EE2">
        <w:rPr>
          <w:rFonts w:hint="eastAsia"/>
          <w:b/>
          <w:bCs/>
          <w:lang w:eastAsia="zh-CN"/>
        </w:rPr>
        <w:t xml:space="preserve">extend </w:t>
      </w:r>
      <w:r w:rsidRPr="007B4BDB">
        <w:rPr>
          <w:rFonts w:hint="eastAsia"/>
          <w:b/>
          <w:bCs/>
          <w:i/>
          <w:iCs/>
          <w:lang w:eastAsia="zh-CN"/>
        </w:rPr>
        <w:t>maxNrofAppLayerMeas-r17</w:t>
      </w:r>
      <w:r w:rsidR="00267F9A" w:rsidRPr="00267F9A">
        <w:rPr>
          <w:b/>
          <w:bCs/>
          <w:lang w:eastAsia="zh-CN"/>
        </w:rPr>
        <w:t>.</w:t>
      </w:r>
    </w:p>
    <w:p w14:paraId="136040E3" w14:textId="4DC8B4E3" w:rsidR="00141120" w:rsidRPr="00141120" w:rsidRDefault="00141120" w:rsidP="00141120">
      <w:pPr>
        <w:rPr>
          <w:lang w:val="sv-SE" w:eastAsia="zh-CN"/>
        </w:rPr>
      </w:pPr>
      <w:r w:rsidRPr="00141120">
        <w:rPr>
          <w:lang w:val="sv-SE" w:eastAsia="zh-CN"/>
        </w:rPr>
        <w:t xml:space="preserve">As for the QoE report leg issue, we believe that whether the indication of the QoE report leg is explicit or implicit actually depends on whether SRB4 and SRB5 will </w:t>
      </w:r>
      <w:r w:rsidR="007A54E1">
        <w:rPr>
          <w:lang w:val="sv-SE" w:eastAsia="zh-CN"/>
        </w:rPr>
        <w:t>be configured</w:t>
      </w:r>
      <w:r w:rsidRPr="00141120">
        <w:rPr>
          <w:lang w:val="sv-SE" w:eastAsia="zh-CN"/>
        </w:rPr>
        <w:t xml:space="preserve"> in the MN/SN at the same time. If only SRB4 is configured in MN and only SRB5 is configured in SN, UE can be implicitly informed of the change of QoE report leg by the addition and release of SRBs. However, if it is not possible that only SRB4 or SRB5 is configured at the same time, then a display indication should be introduced.</w:t>
      </w:r>
    </w:p>
    <w:p w14:paraId="0D0BC28A" w14:textId="2F1E424E" w:rsidR="000438AB" w:rsidRPr="004841D9" w:rsidRDefault="00141120" w:rsidP="00141120">
      <w:pPr>
        <w:rPr>
          <w:lang w:eastAsia="zh-CN"/>
        </w:rPr>
      </w:pPr>
      <w:r w:rsidRPr="00141120">
        <w:rPr>
          <w:lang w:val="sv-SE" w:eastAsia="zh-CN"/>
        </w:rPr>
        <w:t xml:space="preserve">In general we think that </w:t>
      </w:r>
      <w:r w:rsidR="006D6155">
        <w:rPr>
          <w:lang w:val="sv-SE" w:eastAsia="zh-CN"/>
        </w:rPr>
        <w:t xml:space="preserve">explict </w:t>
      </w:r>
      <w:r w:rsidRPr="00141120">
        <w:rPr>
          <w:lang w:val="sv-SE" w:eastAsia="zh-CN"/>
        </w:rPr>
        <w:t>configuration</w:t>
      </w:r>
      <w:r w:rsidR="006D6155">
        <w:rPr>
          <w:lang w:val="sv-SE" w:eastAsia="zh-CN"/>
        </w:rPr>
        <w:t xml:space="preserve"> indicator</w:t>
      </w:r>
      <w:r w:rsidRPr="00141120">
        <w:rPr>
          <w:lang w:val="sv-SE" w:eastAsia="zh-CN"/>
        </w:rPr>
        <w:t xml:space="preserve"> is better, so that</w:t>
      </w:r>
      <w:r w:rsidR="006F4919">
        <w:rPr>
          <w:lang w:val="sv-SE" w:eastAsia="zh-CN"/>
        </w:rPr>
        <w:t xml:space="preserve"> any potential risk</w:t>
      </w:r>
      <w:r w:rsidR="004841D9">
        <w:rPr>
          <w:lang w:val="sv-SE" w:eastAsia="zh-CN"/>
        </w:rPr>
        <w:t>s</w:t>
      </w:r>
      <w:r w:rsidR="006F4919">
        <w:rPr>
          <w:lang w:val="sv-SE" w:eastAsia="zh-CN"/>
        </w:rPr>
        <w:t xml:space="preserve"> can be avioded when</w:t>
      </w:r>
      <w:r w:rsidRPr="00141120">
        <w:rPr>
          <w:lang w:val="sv-SE" w:eastAsia="zh-CN"/>
        </w:rPr>
        <w:t xml:space="preserve"> SRB4 or SRB5 </w:t>
      </w:r>
      <w:r w:rsidR="004841D9">
        <w:rPr>
          <w:lang w:val="sv-SE" w:eastAsia="zh-CN"/>
        </w:rPr>
        <w:t>configuration and</w:t>
      </w:r>
      <w:r w:rsidR="004841D9">
        <w:rPr>
          <w:lang w:eastAsia="zh-CN"/>
        </w:rPr>
        <w:t>/or release en</w:t>
      </w:r>
      <w:r w:rsidR="0011173A">
        <w:rPr>
          <w:lang w:eastAsia="zh-CN"/>
        </w:rPr>
        <w:t>counters implantation issues.</w:t>
      </w:r>
    </w:p>
    <w:p w14:paraId="13D81017" w14:textId="280FE32F" w:rsidR="000438AB" w:rsidRDefault="004F47A3" w:rsidP="000438AB">
      <w:pPr>
        <w:rPr>
          <w:lang w:val="sv-SE" w:eastAsia="zh-CN"/>
        </w:rPr>
      </w:pPr>
      <w:r>
        <w:rPr>
          <w:rFonts w:hint="eastAsia"/>
          <w:lang w:val="sv-SE" w:eastAsia="zh-CN"/>
        </w:rPr>
        <w:t>W</w:t>
      </w:r>
      <w:r>
        <w:rPr>
          <w:lang w:val="sv-SE" w:eastAsia="zh-CN"/>
        </w:rPr>
        <w:t>e noticed that RAN3’s also discusses this issue and they decide to use explict leg change indication[2].</w:t>
      </w:r>
    </w:p>
    <w:tbl>
      <w:tblPr>
        <w:tblStyle w:val="a7"/>
        <w:tblW w:w="0" w:type="auto"/>
        <w:tblLook w:val="04A0" w:firstRow="1" w:lastRow="0" w:firstColumn="1" w:lastColumn="0" w:noHBand="0" w:noVBand="1"/>
      </w:tblPr>
      <w:tblGrid>
        <w:gridCol w:w="9631"/>
      </w:tblGrid>
      <w:tr w:rsidR="004F47A3" w14:paraId="698E73BB" w14:textId="77777777" w:rsidTr="004F47A3">
        <w:tc>
          <w:tcPr>
            <w:tcW w:w="9631" w:type="dxa"/>
          </w:tcPr>
          <w:p w14:paraId="127A5066" w14:textId="77777777" w:rsidR="004F47A3" w:rsidRDefault="004F47A3" w:rsidP="007B249B">
            <w:pPr>
              <w:spacing w:before="120" w:afterLines="50" w:after="156"/>
              <w:rPr>
                <w:rFonts w:ascii="Calibri" w:hAnsi="Calibri" w:cs="Calibri"/>
                <w:b/>
                <w:color w:val="008000"/>
                <w:sz w:val="18"/>
                <w:lang w:eastAsia="zh-CN"/>
              </w:rPr>
            </w:pPr>
            <w:r>
              <w:rPr>
                <w:rStyle w:val="15"/>
                <w:rFonts w:ascii="Calibri" w:hAnsi="Calibri" w:cs="Calibri"/>
                <w:b/>
                <w:color w:val="008000"/>
                <w:sz w:val="18"/>
              </w:rPr>
              <w:t>The network can explicitly instruct a UE in NR-DC to switch the reporting leg.</w:t>
            </w:r>
          </w:p>
          <w:p w14:paraId="796B1E83" w14:textId="77217024" w:rsidR="004F47A3" w:rsidRDefault="004F47A3" w:rsidP="007B249B">
            <w:pPr>
              <w:spacing w:before="120" w:afterLines="50" w:after="156"/>
              <w:rPr>
                <w:rFonts w:ascii="Calibri" w:hAnsi="Calibri" w:cs="Calibri"/>
                <w:b/>
                <w:color w:val="000000"/>
                <w:sz w:val="18"/>
                <w:szCs w:val="24"/>
              </w:rPr>
            </w:pPr>
            <w:r>
              <w:rPr>
                <w:rFonts w:ascii="Calibri" w:hAnsi="Calibri" w:cs="Calibri"/>
                <w:b/>
                <w:color w:val="000000"/>
                <w:sz w:val="18"/>
                <w:szCs w:val="24"/>
              </w:rPr>
              <w:t>Proposal 4-2</w:t>
            </w:r>
            <w:r w:rsidR="0007150B">
              <w:rPr>
                <w:rFonts w:ascii="Calibri" w:hAnsi="Calibri" w:cs="Calibri"/>
                <w:b/>
                <w:color w:val="000000"/>
                <w:sz w:val="18"/>
                <w:szCs w:val="24"/>
              </w:rPr>
              <w:t xml:space="preserve">: </w:t>
            </w:r>
            <w:r>
              <w:rPr>
                <w:rFonts w:ascii="Calibri" w:hAnsi="Calibri" w:cs="Calibri"/>
                <w:b/>
                <w:color w:val="000000"/>
                <w:sz w:val="18"/>
                <w:szCs w:val="24"/>
              </w:rPr>
              <w:t xml:space="preserve"> Discuss whether the reporting leg switch is per QoE reference.</w:t>
            </w:r>
          </w:p>
          <w:p w14:paraId="1D7E700B" w14:textId="74BDDC96" w:rsidR="004F47A3" w:rsidRDefault="004F47A3" w:rsidP="007B249B">
            <w:pPr>
              <w:spacing w:before="120" w:afterLines="50" w:after="156"/>
              <w:rPr>
                <w:rFonts w:ascii="Calibri" w:hAnsi="Calibri" w:cs="Calibri"/>
                <w:color w:val="000000"/>
                <w:sz w:val="18"/>
                <w:szCs w:val="24"/>
              </w:rPr>
            </w:pPr>
            <w:r>
              <w:rPr>
                <w:rFonts w:ascii="Calibri" w:hAnsi="Calibri" w:cs="Calibri"/>
                <w:color w:val="000000"/>
                <w:sz w:val="18"/>
                <w:szCs w:val="24"/>
              </w:rPr>
              <w:t>Nok</w:t>
            </w:r>
            <w:r w:rsidR="0007150B">
              <w:rPr>
                <w:rFonts w:ascii="Calibri" w:hAnsi="Calibri" w:cs="Calibri"/>
                <w:color w:val="000000"/>
                <w:sz w:val="18"/>
                <w:szCs w:val="24"/>
              </w:rPr>
              <w:t xml:space="preserve">: </w:t>
            </w:r>
            <w:r>
              <w:rPr>
                <w:rFonts w:ascii="Calibri" w:hAnsi="Calibri" w:cs="Calibri"/>
                <w:color w:val="000000"/>
                <w:sz w:val="18"/>
                <w:szCs w:val="24"/>
              </w:rPr>
              <w:t xml:space="preserve"> Do we need 4-2? It has been covered by 5-1.</w:t>
            </w:r>
          </w:p>
          <w:p w14:paraId="169D1191" w14:textId="33CFAA8C" w:rsidR="004F47A3" w:rsidRDefault="004F47A3" w:rsidP="007B249B">
            <w:pPr>
              <w:spacing w:before="120" w:afterLines="50" w:after="156"/>
              <w:rPr>
                <w:rFonts w:ascii="Calibri" w:hAnsi="Calibri" w:cs="Calibri"/>
                <w:b/>
                <w:color w:val="008000"/>
                <w:sz w:val="18"/>
              </w:rPr>
            </w:pPr>
            <w:r>
              <w:rPr>
                <w:rFonts w:ascii="Calibri" w:hAnsi="Calibri" w:cs="Calibri"/>
                <w:color w:val="000000"/>
                <w:sz w:val="18"/>
                <w:szCs w:val="24"/>
              </w:rPr>
              <w:t>E///</w:t>
            </w:r>
            <w:r w:rsidR="0007150B">
              <w:rPr>
                <w:rFonts w:ascii="Calibri" w:hAnsi="Calibri" w:cs="Calibri"/>
                <w:color w:val="000000"/>
                <w:sz w:val="18"/>
                <w:szCs w:val="24"/>
              </w:rPr>
              <w:t xml:space="preserve">: </w:t>
            </w:r>
            <w:r>
              <w:rPr>
                <w:rFonts w:ascii="Calibri" w:hAnsi="Calibri" w:cs="Calibri"/>
                <w:color w:val="000000"/>
                <w:sz w:val="18"/>
                <w:szCs w:val="24"/>
              </w:rPr>
              <w:t xml:space="preserve"> UE may be configured from different nodes</w:t>
            </w:r>
          </w:p>
          <w:p w14:paraId="22B7AAAA" w14:textId="77777777" w:rsidR="004F47A3" w:rsidRDefault="004F47A3" w:rsidP="007B249B">
            <w:pPr>
              <w:spacing w:before="120" w:afterLines="50" w:after="156"/>
              <w:rPr>
                <w:rFonts w:ascii="Calibri" w:hAnsi="Calibri" w:cs="Calibri"/>
                <w:b/>
                <w:color w:val="008000"/>
                <w:sz w:val="18"/>
              </w:rPr>
            </w:pPr>
            <w:r>
              <w:rPr>
                <w:rStyle w:val="15"/>
                <w:rFonts w:ascii="Calibri" w:hAnsi="Calibri" w:cs="Calibri"/>
                <w:b/>
                <w:color w:val="008000"/>
                <w:sz w:val="18"/>
              </w:rPr>
              <w:t xml:space="preserve"> </w:t>
            </w:r>
          </w:p>
          <w:p w14:paraId="7B1AFE11" w14:textId="77777777" w:rsidR="004F47A3" w:rsidRDefault="004F47A3" w:rsidP="007B249B">
            <w:pPr>
              <w:spacing w:before="120" w:afterLines="50" w:after="156"/>
              <w:rPr>
                <w:rFonts w:ascii="Calibri" w:hAnsi="Calibri" w:cs="Calibri"/>
                <w:b/>
                <w:color w:val="008000"/>
                <w:sz w:val="18"/>
              </w:rPr>
            </w:pPr>
            <w:r>
              <w:rPr>
                <w:rStyle w:val="15"/>
                <w:rFonts w:ascii="Calibri" w:hAnsi="Calibri" w:cs="Calibri"/>
                <w:b/>
                <w:color w:val="008000"/>
                <w:sz w:val="18"/>
              </w:rPr>
              <w:t>The leg switching command can be sent to the UE by the node that configured that specific QoE configuration.</w:t>
            </w:r>
          </w:p>
          <w:p w14:paraId="5591C8DC" w14:textId="77777777" w:rsidR="004F47A3" w:rsidRDefault="004F47A3" w:rsidP="007B249B">
            <w:pPr>
              <w:spacing w:before="120" w:afterLines="50" w:after="156"/>
              <w:rPr>
                <w:rStyle w:val="15"/>
                <w:rFonts w:ascii="Calibri" w:hAnsi="Calibri"/>
              </w:rPr>
            </w:pPr>
            <w:r>
              <w:rPr>
                <w:rStyle w:val="15"/>
                <w:rFonts w:ascii="Calibri" w:hAnsi="Calibri" w:cs="Calibri"/>
                <w:b/>
                <w:sz w:val="18"/>
              </w:rPr>
              <w:t>FFS how to handle the maintenance of QoE configuration after SN release, after mobility for an NR-DC UE and after the change from NR-DC to single connectivity.</w:t>
            </w:r>
          </w:p>
          <w:p w14:paraId="54D39555" w14:textId="77777777" w:rsidR="004F47A3" w:rsidRDefault="004F47A3" w:rsidP="007B249B">
            <w:pPr>
              <w:spacing w:before="120" w:afterLines="50" w:after="156"/>
              <w:rPr>
                <w:rStyle w:val="15"/>
                <w:rFonts w:ascii="Calibri" w:hAnsi="Calibri" w:cs="Calibri"/>
                <w:b/>
                <w:color w:val="008000"/>
                <w:sz w:val="18"/>
              </w:rPr>
            </w:pPr>
            <w:r>
              <w:rPr>
                <w:rStyle w:val="15"/>
                <w:rFonts w:ascii="Calibri" w:hAnsi="Calibri" w:cs="Calibri"/>
                <w:b/>
                <w:color w:val="008000"/>
                <w:sz w:val="18"/>
              </w:rPr>
              <w:t>The node that currently receives the QoE reports via the Uu can send a request to the peer node, asking that the QoE reporting leg is switched to the peer node.</w:t>
            </w:r>
          </w:p>
          <w:p w14:paraId="21739100" w14:textId="2288EBC0" w:rsidR="004F47A3" w:rsidRPr="004F47A3" w:rsidRDefault="004F47A3" w:rsidP="007B249B">
            <w:pPr>
              <w:spacing w:before="120" w:afterLines="50" w:after="156"/>
            </w:pPr>
            <w:r>
              <w:rPr>
                <w:rStyle w:val="15"/>
                <w:rFonts w:ascii="Calibri" w:hAnsi="Calibri" w:cs="Calibri"/>
                <w:b/>
                <w:color w:val="008000"/>
                <w:sz w:val="18"/>
              </w:rPr>
              <w:t>The leg switch for QoE reporting needs to be approved by both nodes serving the UE.</w:t>
            </w:r>
          </w:p>
        </w:tc>
      </w:tr>
    </w:tbl>
    <w:p w14:paraId="1218DF30" w14:textId="193F57A8" w:rsidR="007B249B" w:rsidRPr="002E4A43" w:rsidRDefault="002E4A43" w:rsidP="000438AB">
      <w:pPr>
        <w:rPr>
          <w:lang w:val="sv-SE" w:eastAsia="zh-CN"/>
        </w:rPr>
      </w:pPr>
      <w:r>
        <w:rPr>
          <w:lang w:val="sv-SE" w:eastAsia="zh-CN"/>
        </w:rPr>
        <w:t>Hence, an explict indiation is the baseline for changing QoE reporting leg in NR-DC.</w:t>
      </w:r>
    </w:p>
    <w:p w14:paraId="0CF7C976" w14:textId="7E165375" w:rsidR="004F47A3" w:rsidRPr="007B249B" w:rsidRDefault="007B249B" w:rsidP="000438AB">
      <w:pPr>
        <w:rPr>
          <w:b/>
          <w:bCs/>
          <w:lang w:val="sv-SE" w:eastAsia="zh-CN"/>
        </w:rPr>
      </w:pPr>
      <w:r w:rsidRPr="007B249B">
        <w:rPr>
          <w:rFonts w:hint="eastAsia"/>
          <w:b/>
          <w:bCs/>
          <w:lang w:val="sv-SE" w:eastAsia="zh-CN"/>
        </w:rPr>
        <w:t>Proposal 2</w:t>
      </w:r>
      <w:r w:rsidR="0007150B">
        <w:rPr>
          <w:rFonts w:hint="eastAsia"/>
          <w:b/>
          <w:bCs/>
          <w:lang w:val="sv-SE" w:eastAsia="zh-CN"/>
        </w:rPr>
        <w:t xml:space="preserve">: </w:t>
      </w:r>
      <w:r w:rsidRPr="007B249B">
        <w:rPr>
          <w:rFonts w:hint="eastAsia"/>
          <w:b/>
          <w:bCs/>
          <w:lang w:val="sv-SE" w:eastAsia="zh-CN"/>
        </w:rPr>
        <w:t>RAN2 agree to introduce a</w:t>
      </w:r>
      <w:r w:rsidR="00330884">
        <w:rPr>
          <w:rFonts w:hint="eastAsia"/>
          <w:b/>
          <w:bCs/>
          <w:lang w:val="sv-SE" w:eastAsia="zh-CN"/>
        </w:rPr>
        <w:t>n</w:t>
      </w:r>
      <w:r w:rsidRPr="007B249B">
        <w:rPr>
          <w:rFonts w:hint="eastAsia"/>
          <w:b/>
          <w:bCs/>
          <w:lang w:val="sv-SE" w:eastAsia="zh-CN"/>
        </w:rPr>
        <w:t xml:space="preserve"> explict indicator for QoE reporting leg</w:t>
      </w:r>
      <w:r w:rsidR="00330884">
        <w:rPr>
          <w:b/>
          <w:bCs/>
          <w:lang w:val="sv-SE" w:eastAsia="zh-CN"/>
        </w:rPr>
        <w:t xml:space="preserve"> </w:t>
      </w:r>
      <w:r w:rsidR="00330884">
        <w:rPr>
          <w:rFonts w:hint="eastAsia"/>
          <w:b/>
          <w:bCs/>
          <w:lang w:val="sv-SE" w:eastAsia="zh-CN"/>
        </w:rPr>
        <w:t>switching</w:t>
      </w:r>
      <w:r w:rsidRPr="007B249B">
        <w:rPr>
          <w:rFonts w:hint="eastAsia"/>
          <w:b/>
          <w:bCs/>
          <w:lang w:val="sv-SE" w:eastAsia="zh-CN"/>
        </w:rPr>
        <w:t>. If not, RAN2 has to ensure that SRB4 and SRB5 will not be configured simultaneously.</w:t>
      </w:r>
    </w:p>
    <w:p w14:paraId="02CA0CAB" w14:textId="42013D2A" w:rsidR="008419A0" w:rsidRDefault="00854805" w:rsidP="006A5A2A">
      <w:pPr>
        <w:rPr>
          <w:lang w:val="sv-SE" w:eastAsia="zh-CN"/>
        </w:rPr>
      </w:pPr>
      <w:r w:rsidRPr="00854805">
        <w:rPr>
          <w:lang w:val="sv-SE" w:eastAsia="zh-CN"/>
        </w:rPr>
        <w:t>On the other hand, if both SRB4 and SRB5 are not configured, this will result in QoE reports not being sent to the MCE</w:t>
      </w:r>
      <w:r>
        <w:rPr>
          <w:lang w:val="sv-SE" w:eastAsia="zh-CN"/>
        </w:rPr>
        <w:t>. S</w:t>
      </w:r>
      <w:r w:rsidRPr="00854805">
        <w:rPr>
          <w:lang w:val="sv-SE" w:eastAsia="zh-CN"/>
        </w:rPr>
        <w:t>o we think it is necessary to discuss what should be done at this point.</w:t>
      </w:r>
    </w:p>
    <w:p w14:paraId="1EC14D82" w14:textId="030E3DFE" w:rsidR="00B744B6" w:rsidRPr="00B744B6" w:rsidRDefault="00B744B6" w:rsidP="006A5A2A">
      <w:pPr>
        <w:rPr>
          <w:b/>
          <w:bCs/>
          <w:lang w:val="sv-SE" w:eastAsia="zh-CN"/>
        </w:rPr>
      </w:pPr>
      <w:r w:rsidRPr="00B744B6">
        <w:rPr>
          <w:b/>
          <w:bCs/>
          <w:lang w:val="sv-SE" w:eastAsia="zh-CN"/>
        </w:rPr>
        <w:t>Proposal 3</w:t>
      </w:r>
      <w:r w:rsidR="0007150B">
        <w:rPr>
          <w:b/>
          <w:bCs/>
          <w:lang w:val="sv-SE" w:eastAsia="zh-CN"/>
        </w:rPr>
        <w:t>:</w:t>
      </w:r>
      <w:r w:rsidRPr="00B744B6">
        <w:rPr>
          <w:b/>
          <w:bCs/>
          <w:lang w:val="sv-SE" w:eastAsia="zh-CN"/>
        </w:rPr>
        <w:t xml:space="preserve"> RAN2 is kindly asked to discuss NW and UE behavior if </w:t>
      </w:r>
      <w:r w:rsidR="007579A9">
        <w:rPr>
          <w:rFonts w:hint="eastAsia"/>
          <w:b/>
          <w:bCs/>
          <w:lang w:val="sv-SE" w:eastAsia="zh-CN"/>
        </w:rPr>
        <w:t>n</w:t>
      </w:r>
      <w:r w:rsidRPr="00B744B6">
        <w:rPr>
          <w:b/>
          <w:bCs/>
          <w:lang w:val="sv-SE" w:eastAsia="zh-CN"/>
        </w:rPr>
        <w:t>either SRB4 or SRB5 is configured for QoE in NR-DC.</w:t>
      </w:r>
    </w:p>
    <w:p w14:paraId="4914711D" w14:textId="588FD954" w:rsidR="0050264A" w:rsidRDefault="00EC480D" w:rsidP="0050264A">
      <w:pPr>
        <w:pStyle w:val="2"/>
        <w:rPr>
          <w:lang w:val="sv-SE" w:eastAsia="zh-CN"/>
        </w:rPr>
      </w:pPr>
      <w:r>
        <w:rPr>
          <w:rFonts w:hint="eastAsia"/>
          <w:lang w:eastAsia="zh-CN"/>
        </w:rPr>
        <w:t>2.</w:t>
      </w:r>
      <w:r w:rsidR="008419A0">
        <w:rPr>
          <w:lang w:eastAsia="zh-CN"/>
        </w:rPr>
        <w:t>3</w:t>
      </w:r>
      <w:r>
        <w:rPr>
          <w:rFonts w:hint="eastAsia"/>
          <w:lang w:eastAsia="zh-CN"/>
        </w:rPr>
        <w:t xml:space="preserve"> </w:t>
      </w:r>
      <w:bookmarkEnd w:id="3"/>
      <w:r w:rsidR="00AA20AB" w:rsidRPr="00AA20AB">
        <w:rPr>
          <w:lang w:val="sv-SE" w:eastAsia="zh-CN"/>
        </w:rPr>
        <w:t>QoE pause/resume in NR-DC</w:t>
      </w:r>
    </w:p>
    <w:p w14:paraId="2A59B9EE" w14:textId="3262D0E2" w:rsidR="00E23E4D" w:rsidRDefault="00E23E4D" w:rsidP="00A93D99">
      <w:pPr>
        <w:rPr>
          <w:lang w:val="sv-SE" w:eastAsia="zh-CN"/>
        </w:rPr>
      </w:pPr>
      <w:r w:rsidRPr="00E23E4D">
        <w:rPr>
          <w:lang w:val="sv-SE" w:eastAsia="zh-CN"/>
        </w:rPr>
        <w:t xml:space="preserve">Since the Paused QoE mechanism is introduced in R17 to solve the problem of RAN overload. In NR-DC scenario, since both MN and SN </w:t>
      </w:r>
      <w:r w:rsidR="00A205D7">
        <w:rPr>
          <w:lang w:val="sv-SE" w:eastAsia="zh-CN"/>
        </w:rPr>
        <w:t xml:space="preserve">will </w:t>
      </w:r>
      <w:r w:rsidRPr="00E23E4D">
        <w:rPr>
          <w:lang w:val="sv-SE" w:eastAsia="zh-CN"/>
        </w:rPr>
        <w:t>exist, it is reasonable to report Paused QoE through SN, especially when MN overload and SN is not yet overload,</w:t>
      </w:r>
      <w:r w:rsidR="00163AE9">
        <w:rPr>
          <w:lang w:val="sv-SE" w:eastAsia="zh-CN"/>
        </w:rPr>
        <w:t xml:space="preserve"> and vice versa,</w:t>
      </w:r>
      <w:r w:rsidRPr="00E23E4D">
        <w:rPr>
          <w:lang w:val="sv-SE" w:eastAsia="zh-CN"/>
        </w:rPr>
        <w:t xml:space="preserve"> which can help to mitigate the RAN overload as the problem. </w:t>
      </w:r>
      <w:r w:rsidR="00163AE9">
        <w:rPr>
          <w:lang w:val="sv-SE" w:eastAsia="zh-CN"/>
        </w:rPr>
        <w:t>For that consideraion</w:t>
      </w:r>
      <w:r w:rsidRPr="00E23E4D">
        <w:rPr>
          <w:lang w:val="sv-SE" w:eastAsia="zh-CN"/>
        </w:rPr>
        <w:t>, we believe that MN and SN do not need to suspend or resume QoE reporting at the same time.</w:t>
      </w:r>
    </w:p>
    <w:p w14:paraId="4A7DA38E" w14:textId="62D55A20" w:rsidR="003D00AB" w:rsidRDefault="003D00AB" w:rsidP="00A93D99">
      <w:pPr>
        <w:rPr>
          <w:b/>
          <w:bCs/>
          <w:lang w:eastAsia="zh-CN"/>
        </w:rPr>
      </w:pPr>
      <w:r w:rsidRPr="003D00AB">
        <w:rPr>
          <w:b/>
          <w:bCs/>
          <w:lang w:eastAsia="zh-CN"/>
        </w:rPr>
        <w:t>Proposal 4</w:t>
      </w:r>
      <w:r w:rsidR="0007150B">
        <w:rPr>
          <w:b/>
          <w:bCs/>
          <w:lang w:eastAsia="zh-CN"/>
        </w:rPr>
        <w:t xml:space="preserve">: </w:t>
      </w:r>
      <w:r w:rsidRPr="003D00AB">
        <w:rPr>
          <w:b/>
          <w:bCs/>
          <w:lang w:eastAsia="zh-CN"/>
        </w:rPr>
        <w:t xml:space="preserve"> MN and SN are not necessarily to pause or resume QoE report simultaneously in NR-DC</w:t>
      </w:r>
      <w:r>
        <w:rPr>
          <w:b/>
          <w:bCs/>
          <w:lang w:eastAsia="zh-CN"/>
        </w:rPr>
        <w:t>.</w:t>
      </w:r>
    </w:p>
    <w:p w14:paraId="2C7CCEA0" w14:textId="2673AEA7" w:rsidR="003D00AB" w:rsidRDefault="006E58BE" w:rsidP="00A93D99">
      <w:pPr>
        <w:rPr>
          <w:lang w:eastAsia="zh-CN"/>
        </w:rPr>
      </w:pPr>
      <w:r>
        <w:rPr>
          <w:rFonts w:hint="eastAsia"/>
          <w:lang w:eastAsia="zh-CN"/>
        </w:rPr>
        <w:lastRenderedPageBreak/>
        <w:t>A</w:t>
      </w:r>
      <w:r w:rsidR="00FB445C" w:rsidRPr="006E58BE">
        <w:rPr>
          <w:lang w:eastAsia="zh-CN"/>
        </w:rPr>
        <w:t xml:space="preserve">ccording to the previous conclusions of RAN3, the SN can send the QoE report directly to MCE, so there is no problem of </w:t>
      </w:r>
      <w:r>
        <w:rPr>
          <w:rFonts w:hint="eastAsia"/>
          <w:lang w:eastAsia="zh-CN"/>
        </w:rPr>
        <w:t>re-</w:t>
      </w:r>
      <w:r w:rsidR="00FB445C" w:rsidRPr="006E58BE">
        <w:rPr>
          <w:lang w:eastAsia="zh-CN"/>
        </w:rPr>
        <w:t xml:space="preserve">forwarding </w:t>
      </w:r>
      <w:r>
        <w:rPr>
          <w:rFonts w:hint="eastAsia"/>
          <w:lang w:eastAsia="zh-CN"/>
        </w:rPr>
        <w:t>the</w:t>
      </w:r>
      <w:r>
        <w:rPr>
          <w:lang w:eastAsia="zh-CN"/>
        </w:rPr>
        <w:t xml:space="preserve"> </w:t>
      </w:r>
      <w:r>
        <w:rPr>
          <w:rFonts w:hint="eastAsia"/>
          <w:lang w:eastAsia="zh-CN"/>
        </w:rPr>
        <w:t>QoE</w:t>
      </w:r>
      <w:r>
        <w:rPr>
          <w:lang w:eastAsia="zh-CN"/>
        </w:rPr>
        <w:t xml:space="preserve"> </w:t>
      </w:r>
      <w:r>
        <w:rPr>
          <w:rFonts w:hint="eastAsia"/>
          <w:lang w:eastAsia="zh-CN"/>
        </w:rPr>
        <w:t>reports</w:t>
      </w:r>
      <w:r w:rsidR="00FB445C" w:rsidRPr="006E58BE">
        <w:rPr>
          <w:lang w:eastAsia="zh-CN"/>
        </w:rPr>
        <w:t xml:space="preserve"> to the MN</w:t>
      </w:r>
      <w:r w:rsidR="006A1E83">
        <w:rPr>
          <w:lang w:eastAsia="zh-CN"/>
        </w:rPr>
        <w:t>.</w:t>
      </w:r>
    </w:p>
    <w:tbl>
      <w:tblPr>
        <w:tblStyle w:val="a7"/>
        <w:tblW w:w="0" w:type="auto"/>
        <w:tblLook w:val="04A0" w:firstRow="1" w:lastRow="0" w:firstColumn="1" w:lastColumn="0" w:noHBand="0" w:noVBand="1"/>
      </w:tblPr>
      <w:tblGrid>
        <w:gridCol w:w="9631"/>
      </w:tblGrid>
      <w:tr w:rsidR="006A1E83" w14:paraId="387BD94C" w14:textId="77777777" w:rsidTr="006A1E83">
        <w:tc>
          <w:tcPr>
            <w:tcW w:w="9631" w:type="dxa"/>
          </w:tcPr>
          <w:p w14:paraId="04C29932" w14:textId="43E67F39" w:rsidR="006A1E83" w:rsidRPr="006A1E83" w:rsidRDefault="006A1E83" w:rsidP="00A93D99">
            <w:pPr>
              <w:rPr>
                <w:rFonts w:ascii="Calibri" w:hAnsi="Calibri" w:cs="Calibri"/>
                <w:i/>
                <w:iCs/>
                <w:color w:val="00B050"/>
                <w:kern w:val="2"/>
                <w:sz w:val="16"/>
                <w:szCs w:val="16"/>
              </w:rPr>
            </w:pPr>
            <w:r>
              <w:rPr>
                <w:rFonts w:ascii="Calibri" w:hAnsi="Calibri" w:cs="Calibri"/>
                <w:i/>
                <w:iCs/>
                <w:color w:val="00B050"/>
                <w:kern w:val="2"/>
                <w:sz w:val="16"/>
                <w:szCs w:val="16"/>
              </w:rPr>
              <w:t>If QoE reports are received by the SN, SN can forward the QoE reports to MCE directly.</w:t>
            </w:r>
          </w:p>
        </w:tc>
      </w:tr>
    </w:tbl>
    <w:p w14:paraId="0F854373" w14:textId="56D22A29" w:rsidR="00380A18" w:rsidRPr="00380A18" w:rsidRDefault="00380A18" w:rsidP="00380A18">
      <w:pPr>
        <w:rPr>
          <w:b/>
          <w:bCs/>
          <w:lang w:eastAsia="zh-CN"/>
        </w:rPr>
      </w:pPr>
      <w:r w:rsidRPr="00380A18">
        <w:rPr>
          <w:b/>
          <w:bCs/>
          <w:lang w:eastAsia="zh-CN"/>
        </w:rPr>
        <w:t>Proposal 5</w:t>
      </w:r>
      <w:r w:rsidR="0007150B">
        <w:rPr>
          <w:b/>
          <w:bCs/>
          <w:lang w:eastAsia="zh-CN"/>
        </w:rPr>
        <w:t xml:space="preserve">: </w:t>
      </w:r>
      <w:r w:rsidRPr="00380A18">
        <w:rPr>
          <w:b/>
          <w:bCs/>
          <w:lang w:eastAsia="zh-CN"/>
        </w:rPr>
        <w:t xml:space="preserve"> If MN is overloaded while SN is not, UE can send QoE reports to S</w:t>
      </w:r>
      <w:r w:rsidR="00E6073E">
        <w:rPr>
          <w:rFonts w:hint="eastAsia"/>
          <w:b/>
          <w:bCs/>
          <w:lang w:eastAsia="zh-CN"/>
        </w:rPr>
        <w:t>N</w:t>
      </w:r>
      <w:r w:rsidR="00E6073E">
        <w:rPr>
          <w:b/>
          <w:bCs/>
          <w:lang w:eastAsia="zh-CN"/>
        </w:rPr>
        <w:t xml:space="preserve"> according </w:t>
      </w:r>
      <w:r w:rsidR="00E6073E">
        <w:rPr>
          <w:rFonts w:hint="eastAsia"/>
          <w:b/>
          <w:bCs/>
          <w:lang w:eastAsia="zh-CN"/>
        </w:rPr>
        <w:t>to</w:t>
      </w:r>
      <w:r w:rsidR="00E6073E">
        <w:rPr>
          <w:b/>
          <w:bCs/>
          <w:lang w:eastAsia="zh-CN"/>
        </w:rPr>
        <w:t xml:space="preserve"> </w:t>
      </w:r>
      <w:r w:rsidR="00E6073E">
        <w:rPr>
          <w:rFonts w:hint="eastAsia"/>
          <w:b/>
          <w:bCs/>
          <w:lang w:eastAsia="zh-CN"/>
        </w:rPr>
        <w:t>NW</w:t>
      </w:r>
      <w:r w:rsidR="00E6073E">
        <w:rPr>
          <w:b/>
          <w:bCs/>
          <w:lang w:eastAsia="zh-CN"/>
        </w:rPr>
        <w:t>’s indication</w:t>
      </w:r>
      <w:r w:rsidRPr="00380A18">
        <w:rPr>
          <w:b/>
          <w:bCs/>
          <w:lang w:eastAsia="zh-CN"/>
        </w:rPr>
        <w:t>, SN can send the QoE reports to MCE directly, and vice versa.</w:t>
      </w:r>
    </w:p>
    <w:p w14:paraId="2508D50F" w14:textId="7F63A729" w:rsidR="006A1E83" w:rsidRPr="00380A18" w:rsidRDefault="00380A18" w:rsidP="00380A18">
      <w:pPr>
        <w:rPr>
          <w:b/>
          <w:bCs/>
          <w:lang w:eastAsia="zh-CN"/>
        </w:rPr>
      </w:pPr>
      <w:r w:rsidRPr="00380A18">
        <w:rPr>
          <w:b/>
          <w:bCs/>
          <w:lang w:eastAsia="zh-CN"/>
        </w:rPr>
        <w:t>Proposal 6</w:t>
      </w:r>
      <w:r w:rsidR="0007150B">
        <w:rPr>
          <w:b/>
          <w:bCs/>
          <w:lang w:eastAsia="zh-CN"/>
        </w:rPr>
        <w:t xml:space="preserve">: </w:t>
      </w:r>
      <w:r w:rsidRPr="00380A18">
        <w:rPr>
          <w:b/>
          <w:bCs/>
          <w:lang w:eastAsia="zh-CN"/>
        </w:rPr>
        <w:t xml:space="preserve"> RAN2 to discuss whether needs an </w:t>
      </w:r>
      <w:r w:rsidR="00E6073E" w:rsidRPr="00380A18">
        <w:rPr>
          <w:b/>
          <w:bCs/>
          <w:lang w:eastAsia="zh-CN"/>
        </w:rPr>
        <w:t>explicit</w:t>
      </w:r>
      <w:r w:rsidRPr="00380A18">
        <w:rPr>
          <w:b/>
          <w:bCs/>
          <w:lang w:eastAsia="zh-CN"/>
        </w:rPr>
        <w:t xml:space="preserve"> indicator for MN/SN reporting or reuses </w:t>
      </w:r>
      <w:r w:rsidR="00E6073E" w:rsidRPr="00380A18">
        <w:rPr>
          <w:b/>
          <w:bCs/>
          <w:lang w:eastAsia="zh-CN"/>
        </w:rPr>
        <w:t>pause Report</w:t>
      </w:r>
      <w:r w:rsidRPr="00380A18">
        <w:rPr>
          <w:b/>
          <w:bCs/>
          <w:lang w:eastAsia="zh-CN"/>
        </w:rPr>
        <w:t xml:space="preserve"> in AppLayerMeasConfig for MN/SN overload.</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4BF6B20A"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124709">
        <w:rPr>
          <w:rFonts w:hint="eastAsia"/>
          <w:lang w:eastAsia="zh-CN"/>
        </w:rPr>
        <w:t>capacity</w:t>
      </w:r>
      <w:r w:rsidR="00124709">
        <w:rPr>
          <w:lang w:eastAsia="zh-CN"/>
        </w:rPr>
        <w:t xml:space="preserve"> </w:t>
      </w:r>
      <w:r w:rsidR="00124709">
        <w:rPr>
          <w:rFonts w:hint="eastAsia"/>
          <w:lang w:eastAsia="zh-CN"/>
        </w:rPr>
        <w:t>enhancement</w:t>
      </w:r>
      <w:r w:rsidR="00124709">
        <w:rPr>
          <w:lang w:eastAsia="zh-CN"/>
        </w:rPr>
        <w:t xml:space="preserve"> </w:t>
      </w:r>
      <w:r w:rsidR="00124709">
        <w:rPr>
          <w:rFonts w:hint="eastAsia"/>
          <w:lang w:eastAsia="zh-CN"/>
        </w:rPr>
        <w:t>for</w:t>
      </w:r>
      <w:r w:rsidR="00B566F8">
        <w:rPr>
          <w:lang w:eastAsia="zh-CN"/>
        </w:rPr>
        <w:t xml:space="preserve"> MBS</w:t>
      </w:r>
      <w:r w:rsidR="00124709">
        <w:rPr>
          <w:lang w:eastAsia="zh-CN"/>
        </w:rPr>
        <w:t xml:space="preserve"> </w:t>
      </w:r>
      <w:r w:rsidR="00B566F8">
        <w:rPr>
          <w:lang w:eastAsia="zh-CN"/>
        </w:rPr>
        <w:t>QoE</w:t>
      </w:r>
      <w:r>
        <w:rPr>
          <w:rFonts w:hint="eastAsia"/>
          <w:lang w:eastAsia="zh-CN"/>
        </w:rPr>
        <w:t xml:space="preserve">, </w:t>
      </w:r>
      <w:r>
        <w:rPr>
          <w:lang w:eastAsia="zh-CN"/>
        </w:rPr>
        <w:t>the following are the proposals that may be taken into consideration.</w:t>
      </w:r>
    </w:p>
    <w:p w14:paraId="5DB56FDA" w14:textId="3637F700" w:rsidR="0048396C" w:rsidRPr="0048396C" w:rsidRDefault="0007150B" w:rsidP="00AE7E9D">
      <w:pPr>
        <w:rPr>
          <w:i/>
          <w:iCs/>
          <w:u w:val="single"/>
          <w:lang w:eastAsia="zh-CN"/>
        </w:rPr>
      </w:pPr>
      <w:r w:rsidRPr="0007150B">
        <w:rPr>
          <w:i/>
          <w:iCs/>
          <w:u w:val="single"/>
          <w:lang w:eastAsia="zh-CN"/>
        </w:rPr>
        <w:t>QoE configuration in NR-DC</w:t>
      </w:r>
      <w:r w:rsidR="0048396C" w:rsidRPr="0048396C">
        <w:rPr>
          <w:i/>
          <w:iCs/>
          <w:u w:val="single"/>
          <w:lang w:eastAsia="zh-CN"/>
        </w:rPr>
        <w:t xml:space="preserve"> aspect</w:t>
      </w:r>
      <w:r>
        <w:rPr>
          <w:i/>
          <w:iCs/>
          <w:u w:val="single"/>
          <w:lang w:eastAsia="zh-CN"/>
        </w:rPr>
        <w:t xml:space="preserve">: </w:t>
      </w:r>
    </w:p>
    <w:p w14:paraId="6FF70523" w14:textId="636BD973" w:rsidR="0007150B" w:rsidRPr="007B4BDB" w:rsidRDefault="0007150B" w:rsidP="0007150B">
      <w:pPr>
        <w:rPr>
          <w:b/>
          <w:bCs/>
          <w:lang w:eastAsia="zh-CN"/>
        </w:rPr>
      </w:pPr>
      <w:r w:rsidRPr="00052EE2">
        <w:rPr>
          <w:rFonts w:hint="eastAsia"/>
          <w:b/>
          <w:bCs/>
          <w:lang w:eastAsia="zh-CN"/>
        </w:rPr>
        <w:t>Proposal 1</w:t>
      </w:r>
      <w:r>
        <w:rPr>
          <w:rFonts w:hint="eastAsia"/>
          <w:b/>
          <w:bCs/>
          <w:lang w:eastAsia="zh-CN"/>
        </w:rPr>
        <w:t xml:space="preserve">: </w:t>
      </w:r>
      <w:r w:rsidRPr="00052EE2">
        <w:rPr>
          <w:rFonts w:hint="eastAsia"/>
          <w:b/>
          <w:bCs/>
          <w:lang w:eastAsia="zh-CN"/>
        </w:rPr>
        <w:t xml:space="preserve">MN and SN should </w:t>
      </w:r>
      <w:r>
        <w:rPr>
          <w:b/>
          <w:bCs/>
          <w:lang w:eastAsia="zh-CN"/>
        </w:rPr>
        <w:t xml:space="preserve">be able to coordinate and </w:t>
      </w:r>
      <w:r w:rsidRPr="00052EE2">
        <w:rPr>
          <w:rFonts w:hint="eastAsia"/>
          <w:b/>
          <w:bCs/>
          <w:lang w:eastAsia="zh-CN"/>
        </w:rPr>
        <w:t xml:space="preserve">ensure the max number of </w:t>
      </w:r>
      <w:r w:rsidRPr="00052EE2">
        <w:rPr>
          <w:b/>
          <w:bCs/>
          <w:lang w:eastAsia="zh-CN"/>
        </w:rPr>
        <w:t>simultaneously</w:t>
      </w:r>
      <w:r w:rsidRPr="00052EE2">
        <w:rPr>
          <w:rFonts w:hint="eastAsia"/>
          <w:b/>
          <w:bCs/>
          <w:lang w:eastAsia="zh-CN"/>
        </w:rPr>
        <w:t xml:space="preserve"> QoE measurement collection will not exceed </w:t>
      </w:r>
      <w:r w:rsidRPr="007B4BDB">
        <w:rPr>
          <w:rFonts w:hint="eastAsia"/>
          <w:b/>
          <w:bCs/>
          <w:i/>
          <w:iCs/>
          <w:lang w:eastAsia="zh-CN"/>
        </w:rPr>
        <w:t>maxNrofAppLayerMeas-r17</w:t>
      </w:r>
      <w:r w:rsidRPr="00052EE2">
        <w:rPr>
          <w:rFonts w:hint="eastAsia"/>
          <w:b/>
          <w:bCs/>
          <w:lang w:eastAsia="zh-CN"/>
        </w:rPr>
        <w:t xml:space="preserve">. FFS </w:t>
      </w:r>
      <w:r w:rsidRPr="00052EE2">
        <w:rPr>
          <w:b/>
          <w:bCs/>
          <w:lang w:eastAsia="zh-CN"/>
        </w:rPr>
        <w:t>whether</w:t>
      </w:r>
      <w:r w:rsidRPr="00052EE2">
        <w:rPr>
          <w:rFonts w:hint="eastAsia"/>
          <w:b/>
          <w:bCs/>
          <w:lang w:eastAsia="zh-CN"/>
        </w:rPr>
        <w:t xml:space="preserve"> to </w:t>
      </w:r>
      <w:r>
        <w:rPr>
          <w:b/>
          <w:bCs/>
          <w:lang w:eastAsia="zh-CN"/>
        </w:rPr>
        <w:t xml:space="preserve">introduce new parameter or </w:t>
      </w:r>
      <w:r w:rsidRPr="00052EE2">
        <w:rPr>
          <w:rFonts w:hint="eastAsia"/>
          <w:b/>
          <w:bCs/>
          <w:lang w:eastAsia="zh-CN"/>
        </w:rPr>
        <w:t xml:space="preserve">extend </w:t>
      </w:r>
      <w:r w:rsidRPr="007B4BDB">
        <w:rPr>
          <w:rFonts w:hint="eastAsia"/>
          <w:b/>
          <w:bCs/>
          <w:i/>
          <w:iCs/>
          <w:lang w:eastAsia="zh-CN"/>
        </w:rPr>
        <w:t>maxNrofAppLayerMeas-r17</w:t>
      </w:r>
      <w:r w:rsidRPr="00267F9A">
        <w:rPr>
          <w:b/>
          <w:bCs/>
          <w:lang w:eastAsia="zh-CN"/>
        </w:rPr>
        <w:t>.</w:t>
      </w:r>
    </w:p>
    <w:p w14:paraId="6B372DB6" w14:textId="66794278" w:rsidR="0007150B" w:rsidRPr="007B249B" w:rsidRDefault="0007150B" w:rsidP="0007150B">
      <w:pPr>
        <w:rPr>
          <w:b/>
          <w:bCs/>
          <w:lang w:val="sv-SE" w:eastAsia="zh-CN"/>
        </w:rPr>
      </w:pPr>
      <w:r w:rsidRPr="007B249B">
        <w:rPr>
          <w:rFonts w:hint="eastAsia"/>
          <w:b/>
          <w:bCs/>
          <w:lang w:val="sv-SE" w:eastAsia="zh-CN"/>
        </w:rPr>
        <w:t>Proposal 2</w:t>
      </w:r>
      <w:r>
        <w:rPr>
          <w:rFonts w:hint="eastAsia"/>
          <w:b/>
          <w:bCs/>
          <w:lang w:val="sv-SE" w:eastAsia="zh-CN"/>
        </w:rPr>
        <w:t xml:space="preserve">: </w:t>
      </w:r>
      <w:r w:rsidRPr="007B249B">
        <w:rPr>
          <w:rFonts w:hint="eastAsia"/>
          <w:b/>
          <w:bCs/>
          <w:lang w:val="sv-SE" w:eastAsia="zh-CN"/>
        </w:rPr>
        <w:t>RAN2 agree to introduce a</w:t>
      </w:r>
      <w:r>
        <w:rPr>
          <w:rFonts w:hint="eastAsia"/>
          <w:b/>
          <w:bCs/>
          <w:lang w:val="sv-SE" w:eastAsia="zh-CN"/>
        </w:rPr>
        <w:t>n</w:t>
      </w:r>
      <w:r w:rsidRPr="007B249B">
        <w:rPr>
          <w:rFonts w:hint="eastAsia"/>
          <w:b/>
          <w:bCs/>
          <w:lang w:val="sv-SE" w:eastAsia="zh-CN"/>
        </w:rPr>
        <w:t xml:space="preserve"> explict indicator for QoE reporting leg</w:t>
      </w:r>
      <w:r>
        <w:rPr>
          <w:b/>
          <w:bCs/>
          <w:lang w:val="sv-SE" w:eastAsia="zh-CN"/>
        </w:rPr>
        <w:t xml:space="preserve"> </w:t>
      </w:r>
      <w:r>
        <w:rPr>
          <w:rFonts w:hint="eastAsia"/>
          <w:b/>
          <w:bCs/>
          <w:lang w:val="sv-SE" w:eastAsia="zh-CN"/>
        </w:rPr>
        <w:t>switching</w:t>
      </w:r>
      <w:r w:rsidRPr="007B249B">
        <w:rPr>
          <w:rFonts w:hint="eastAsia"/>
          <w:b/>
          <w:bCs/>
          <w:lang w:val="sv-SE" w:eastAsia="zh-CN"/>
        </w:rPr>
        <w:t>. If not, RAN2 has to ensure that SRB4 and SRB5 will not be configured simultaneously.</w:t>
      </w:r>
    </w:p>
    <w:p w14:paraId="0532B1FF" w14:textId="3BFD798D" w:rsidR="0007150B" w:rsidRPr="00B744B6" w:rsidRDefault="0007150B" w:rsidP="0007150B">
      <w:pPr>
        <w:rPr>
          <w:b/>
          <w:bCs/>
          <w:lang w:val="sv-SE" w:eastAsia="zh-CN"/>
        </w:rPr>
      </w:pPr>
      <w:r w:rsidRPr="00B744B6">
        <w:rPr>
          <w:b/>
          <w:bCs/>
          <w:lang w:val="sv-SE" w:eastAsia="zh-CN"/>
        </w:rPr>
        <w:t>Proposal 3</w:t>
      </w:r>
      <w:r>
        <w:rPr>
          <w:b/>
          <w:bCs/>
          <w:lang w:val="sv-SE" w:eastAsia="zh-CN"/>
        </w:rPr>
        <w:t xml:space="preserve">: </w:t>
      </w:r>
      <w:r w:rsidRPr="00B744B6">
        <w:rPr>
          <w:b/>
          <w:bCs/>
          <w:lang w:val="sv-SE" w:eastAsia="zh-CN"/>
        </w:rPr>
        <w:t xml:space="preserve">RAN2 is kindly asked to discuss NW and UE behavior if </w:t>
      </w:r>
      <w:r w:rsidR="007579A9">
        <w:rPr>
          <w:rFonts w:hint="eastAsia"/>
          <w:b/>
          <w:bCs/>
          <w:lang w:val="sv-SE" w:eastAsia="zh-CN"/>
        </w:rPr>
        <w:t>n</w:t>
      </w:r>
      <w:r w:rsidRPr="00B744B6">
        <w:rPr>
          <w:b/>
          <w:bCs/>
          <w:lang w:val="sv-SE" w:eastAsia="zh-CN"/>
        </w:rPr>
        <w:t>either SRB4 or SRB5 is configured for QoE in NR-DC.</w:t>
      </w:r>
    </w:p>
    <w:p w14:paraId="5C70FE0F" w14:textId="162FD3CF" w:rsidR="0048396C" w:rsidRPr="0048396C" w:rsidRDefault="0007150B" w:rsidP="00D01759">
      <w:pPr>
        <w:rPr>
          <w:i/>
          <w:iCs/>
          <w:u w:val="single"/>
          <w:lang w:eastAsia="zh-CN"/>
        </w:rPr>
      </w:pPr>
      <w:r w:rsidRPr="0007150B">
        <w:rPr>
          <w:i/>
          <w:iCs/>
          <w:u w:val="single"/>
          <w:lang w:eastAsia="zh-CN"/>
        </w:rPr>
        <w:t>QoE pause/resume in NR-DC</w:t>
      </w:r>
      <w:r w:rsidR="0048396C" w:rsidRPr="0048396C">
        <w:rPr>
          <w:i/>
          <w:iCs/>
          <w:u w:val="single"/>
          <w:lang w:eastAsia="zh-CN"/>
        </w:rPr>
        <w:t xml:space="preserve"> aspect</w:t>
      </w:r>
      <w:r>
        <w:rPr>
          <w:i/>
          <w:iCs/>
          <w:u w:val="single"/>
          <w:lang w:eastAsia="zh-CN"/>
        </w:rPr>
        <w:t xml:space="preserve">: </w:t>
      </w:r>
    </w:p>
    <w:p w14:paraId="6D4E53E2" w14:textId="1CDF4F31" w:rsidR="0007150B" w:rsidRPr="00380A18" w:rsidRDefault="0007150B" w:rsidP="0007150B">
      <w:pPr>
        <w:rPr>
          <w:b/>
          <w:bCs/>
          <w:lang w:eastAsia="zh-CN"/>
        </w:rPr>
      </w:pPr>
      <w:r w:rsidRPr="00380A18">
        <w:rPr>
          <w:b/>
          <w:bCs/>
          <w:lang w:eastAsia="zh-CN"/>
        </w:rPr>
        <w:t>Proposal 5</w:t>
      </w:r>
      <w:r>
        <w:rPr>
          <w:b/>
          <w:bCs/>
          <w:lang w:eastAsia="zh-CN"/>
        </w:rPr>
        <w:t xml:space="preserve">: </w:t>
      </w:r>
      <w:r w:rsidRPr="00380A18">
        <w:rPr>
          <w:b/>
          <w:bCs/>
          <w:lang w:eastAsia="zh-CN"/>
        </w:rPr>
        <w:t>If MN is overloaded while SN is not, UE can send QoE reports to S</w:t>
      </w:r>
      <w:r>
        <w:rPr>
          <w:rFonts w:hint="eastAsia"/>
          <w:b/>
          <w:bCs/>
          <w:lang w:eastAsia="zh-CN"/>
        </w:rPr>
        <w:t>N</w:t>
      </w:r>
      <w:r>
        <w:rPr>
          <w:b/>
          <w:bCs/>
          <w:lang w:eastAsia="zh-CN"/>
        </w:rPr>
        <w:t xml:space="preserve"> according </w:t>
      </w:r>
      <w:r>
        <w:rPr>
          <w:rFonts w:hint="eastAsia"/>
          <w:b/>
          <w:bCs/>
          <w:lang w:eastAsia="zh-CN"/>
        </w:rPr>
        <w:t>to</w:t>
      </w:r>
      <w:r>
        <w:rPr>
          <w:b/>
          <w:bCs/>
          <w:lang w:eastAsia="zh-CN"/>
        </w:rPr>
        <w:t xml:space="preserve"> </w:t>
      </w:r>
      <w:r>
        <w:rPr>
          <w:rFonts w:hint="eastAsia"/>
          <w:b/>
          <w:bCs/>
          <w:lang w:eastAsia="zh-CN"/>
        </w:rPr>
        <w:t>NW</w:t>
      </w:r>
      <w:r>
        <w:rPr>
          <w:b/>
          <w:bCs/>
          <w:lang w:eastAsia="zh-CN"/>
        </w:rPr>
        <w:t>’s indication</w:t>
      </w:r>
      <w:r w:rsidRPr="00380A18">
        <w:rPr>
          <w:b/>
          <w:bCs/>
          <w:lang w:eastAsia="zh-CN"/>
        </w:rPr>
        <w:t>, SN can send the QoE reports to MCE directly, and vice versa.</w:t>
      </w:r>
    </w:p>
    <w:p w14:paraId="70F4F7E4" w14:textId="6D0BF930" w:rsidR="0007150B" w:rsidRPr="00380A18" w:rsidRDefault="0007150B" w:rsidP="0007150B">
      <w:pPr>
        <w:rPr>
          <w:b/>
          <w:bCs/>
          <w:lang w:eastAsia="zh-CN"/>
        </w:rPr>
      </w:pPr>
      <w:r w:rsidRPr="00380A18">
        <w:rPr>
          <w:b/>
          <w:bCs/>
          <w:lang w:eastAsia="zh-CN"/>
        </w:rPr>
        <w:t>Proposal 6</w:t>
      </w:r>
      <w:r>
        <w:rPr>
          <w:b/>
          <w:bCs/>
          <w:lang w:eastAsia="zh-CN"/>
        </w:rPr>
        <w:t xml:space="preserve">: </w:t>
      </w:r>
      <w:r w:rsidRPr="00380A18">
        <w:rPr>
          <w:b/>
          <w:bCs/>
          <w:lang w:eastAsia="zh-CN"/>
        </w:rPr>
        <w:t xml:space="preserve">RAN2 to discuss whether </w:t>
      </w:r>
      <w:r w:rsidR="0002170F">
        <w:rPr>
          <w:b/>
          <w:bCs/>
          <w:lang w:eastAsia="zh-CN"/>
        </w:rPr>
        <w:t>reuse</w:t>
      </w:r>
      <w:r w:rsidRPr="00380A18">
        <w:rPr>
          <w:b/>
          <w:bCs/>
          <w:lang w:eastAsia="zh-CN"/>
        </w:rPr>
        <w:t xml:space="preserve"> </w:t>
      </w:r>
      <w:r w:rsidR="0002170F">
        <w:rPr>
          <w:b/>
          <w:bCs/>
          <w:lang w:eastAsia="zh-CN"/>
        </w:rPr>
        <w:t>the</w:t>
      </w:r>
      <w:r w:rsidRPr="00380A18">
        <w:rPr>
          <w:b/>
          <w:bCs/>
          <w:lang w:eastAsia="zh-CN"/>
        </w:rPr>
        <w:t xml:space="preserve"> explicit indicator for MN/SN </w:t>
      </w:r>
      <w:r w:rsidR="0002170F">
        <w:rPr>
          <w:b/>
          <w:bCs/>
          <w:lang w:eastAsia="zh-CN"/>
        </w:rPr>
        <w:t xml:space="preserve">QoE </w:t>
      </w:r>
      <w:r w:rsidRPr="00380A18">
        <w:rPr>
          <w:b/>
          <w:bCs/>
          <w:lang w:eastAsia="zh-CN"/>
        </w:rPr>
        <w:t>reporting</w:t>
      </w:r>
      <w:r w:rsidR="0002170F">
        <w:rPr>
          <w:b/>
          <w:bCs/>
          <w:lang w:eastAsia="zh-CN"/>
        </w:rPr>
        <w:t xml:space="preserve"> leg switching</w:t>
      </w:r>
      <w:r w:rsidRPr="00380A18">
        <w:rPr>
          <w:b/>
          <w:bCs/>
          <w:lang w:eastAsia="zh-CN"/>
        </w:rPr>
        <w:t xml:space="preserve"> or reuses </w:t>
      </w:r>
      <w:r w:rsidRPr="00394B47">
        <w:rPr>
          <w:b/>
          <w:bCs/>
          <w:i/>
          <w:iCs/>
          <w:lang w:eastAsia="zh-CN"/>
        </w:rPr>
        <w:t>pauseReport</w:t>
      </w:r>
      <w:r w:rsidR="002B69B6">
        <w:rPr>
          <w:b/>
          <w:bCs/>
          <w:i/>
          <w:iCs/>
          <w:lang w:eastAsia="zh-CN"/>
        </w:rPr>
        <w:t>ing-r17</w:t>
      </w:r>
      <w:r w:rsidRPr="00380A18">
        <w:rPr>
          <w:b/>
          <w:bCs/>
          <w:lang w:eastAsia="zh-CN"/>
        </w:rPr>
        <w:t xml:space="preserve"> in </w:t>
      </w:r>
      <w:r w:rsidRPr="00394B47">
        <w:rPr>
          <w:b/>
          <w:bCs/>
          <w:i/>
          <w:iCs/>
          <w:lang w:eastAsia="zh-CN"/>
        </w:rPr>
        <w:t>AppLayerMeasConfig</w:t>
      </w:r>
      <w:r w:rsidRPr="00380A18">
        <w:rPr>
          <w:b/>
          <w:bCs/>
          <w:lang w:eastAsia="zh-CN"/>
        </w:rPr>
        <w:t xml:space="preserve"> for MN/SN overload.</w:t>
      </w:r>
    </w:p>
    <w:p w14:paraId="205F7787" w14:textId="77777777" w:rsidR="00CD4C7B" w:rsidRPr="006E13D1" w:rsidRDefault="00CD4C7B" w:rsidP="00CD4C7B">
      <w:pPr>
        <w:pStyle w:val="1"/>
      </w:pPr>
      <w:r w:rsidRPr="006E13D1">
        <w:t>References</w:t>
      </w:r>
    </w:p>
    <w:p w14:paraId="3AA3A11B" w14:textId="6EDE36F7" w:rsidR="004B40D9" w:rsidRDefault="00A13B63" w:rsidP="00A13B63">
      <w:pPr>
        <w:pStyle w:val="a8"/>
        <w:numPr>
          <w:ilvl w:val="0"/>
          <w:numId w:val="9"/>
        </w:numPr>
        <w:rPr>
          <w:lang w:eastAsia="zh-CN"/>
        </w:rPr>
      </w:pPr>
      <w:r w:rsidRPr="00A13B63">
        <w:rPr>
          <w:lang w:eastAsia="zh-CN"/>
        </w:rPr>
        <w:t>R2-2304202, Report on LTE legacy, XR, QoE and MUSIM, Vice Chairman (Nokia)</w:t>
      </w:r>
    </w:p>
    <w:p w14:paraId="09CE73BF" w14:textId="04CB1018" w:rsidR="0076606E" w:rsidRPr="00406CD2" w:rsidRDefault="0020116D" w:rsidP="003C0902">
      <w:pPr>
        <w:pStyle w:val="a8"/>
        <w:numPr>
          <w:ilvl w:val="0"/>
          <w:numId w:val="9"/>
        </w:numPr>
        <w:overflowPunct w:val="0"/>
        <w:autoSpaceDE w:val="0"/>
        <w:autoSpaceDN w:val="0"/>
        <w:adjustRightInd w:val="0"/>
        <w:textAlignment w:val="baseline"/>
        <w:rPr>
          <w:lang w:eastAsia="zh-CN"/>
        </w:rPr>
      </w:pPr>
      <w:r w:rsidRPr="0020116D">
        <w:rPr>
          <w:lang w:eastAsia="zh-CN"/>
        </w:rPr>
        <w:t>RAN3_119</w:t>
      </w:r>
      <w:r w:rsidR="00A13B63">
        <w:rPr>
          <w:lang w:eastAsia="zh-CN"/>
        </w:rPr>
        <w:t>bis-e</w:t>
      </w:r>
      <w:r w:rsidRPr="0020116D">
        <w:rPr>
          <w:lang w:eastAsia="zh-CN"/>
        </w:rPr>
        <w:t>_agenda_20230</w:t>
      </w:r>
      <w:r w:rsidR="00A13B63">
        <w:rPr>
          <w:lang w:eastAsia="zh-CN"/>
        </w:rPr>
        <w:t>426</w:t>
      </w:r>
      <w:r w:rsidRPr="0020116D">
        <w:rPr>
          <w:lang w:eastAsia="zh-CN"/>
        </w:rPr>
        <w:t>_EOM</w:t>
      </w:r>
      <w:r w:rsidR="00A13B63">
        <w:rPr>
          <w:lang w:eastAsia="zh-CN"/>
        </w:rPr>
        <w:t>1</w:t>
      </w:r>
    </w:p>
    <w:sectPr w:rsidR="0076606E"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688F" w14:textId="77777777" w:rsidR="001766C5" w:rsidRDefault="001766C5">
      <w:r>
        <w:separator/>
      </w:r>
    </w:p>
  </w:endnote>
  <w:endnote w:type="continuationSeparator" w:id="0">
    <w:p w14:paraId="136C6AF7" w14:textId="77777777" w:rsidR="001766C5" w:rsidRDefault="001766C5">
      <w:r>
        <w:continuationSeparator/>
      </w:r>
    </w:p>
  </w:endnote>
  <w:endnote w:type="continuationNotice" w:id="1">
    <w:p w14:paraId="3C3134A1" w14:textId="77777777" w:rsidR="001766C5" w:rsidRDefault="00176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9D72" w14:textId="77777777" w:rsidR="001766C5" w:rsidRDefault="001766C5">
      <w:r>
        <w:separator/>
      </w:r>
    </w:p>
  </w:footnote>
  <w:footnote w:type="continuationSeparator" w:id="0">
    <w:p w14:paraId="76D1C566" w14:textId="77777777" w:rsidR="001766C5" w:rsidRDefault="001766C5">
      <w:r>
        <w:continuationSeparator/>
      </w:r>
    </w:p>
  </w:footnote>
  <w:footnote w:type="continuationNotice" w:id="1">
    <w:p w14:paraId="4A71F212" w14:textId="77777777" w:rsidR="001766C5" w:rsidRDefault="001766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DC02DE2"/>
    <w:multiLevelType w:val="multilevel"/>
    <w:tmpl w:val="D536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6"/>
  </w:num>
  <w:num w:numId="3" w16cid:durableId="432284578">
    <w:abstractNumId w:val="4"/>
  </w:num>
  <w:num w:numId="4" w16cid:durableId="1474909734">
    <w:abstractNumId w:val="1"/>
  </w:num>
  <w:num w:numId="5" w16cid:durableId="1299185967">
    <w:abstractNumId w:val="11"/>
  </w:num>
  <w:num w:numId="6" w16cid:durableId="1620526602">
    <w:abstractNumId w:val="7"/>
  </w:num>
  <w:num w:numId="7" w16cid:durableId="2142572016">
    <w:abstractNumId w:val="8"/>
  </w:num>
  <w:num w:numId="8" w16cid:durableId="733164140">
    <w:abstractNumId w:val="0"/>
  </w:num>
  <w:num w:numId="9" w16cid:durableId="1780490402">
    <w:abstractNumId w:val="5"/>
  </w:num>
  <w:num w:numId="10" w16cid:durableId="1656836945">
    <w:abstractNumId w:val="2"/>
  </w:num>
  <w:num w:numId="11" w16cid:durableId="562764388">
    <w:abstractNumId w:val="10"/>
  </w:num>
  <w:num w:numId="12" w16cid:durableId="1125974823">
    <w:abstractNumId w:val="3"/>
  </w:num>
  <w:num w:numId="13" w16cid:durableId="229579019">
    <w:abstractNumId w:val="9"/>
  </w:num>
  <w:num w:numId="14" w16cid:durableId="4491835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92A"/>
    <w:rsid w:val="00001DCD"/>
    <w:rsid w:val="0000277F"/>
    <w:rsid w:val="00002A40"/>
    <w:rsid w:val="000041E9"/>
    <w:rsid w:val="00006154"/>
    <w:rsid w:val="00006FD7"/>
    <w:rsid w:val="00006FED"/>
    <w:rsid w:val="00007258"/>
    <w:rsid w:val="00007279"/>
    <w:rsid w:val="00007837"/>
    <w:rsid w:val="00007C69"/>
    <w:rsid w:val="000101E7"/>
    <w:rsid w:val="00010BD7"/>
    <w:rsid w:val="00012E86"/>
    <w:rsid w:val="00012F04"/>
    <w:rsid w:val="000143BC"/>
    <w:rsid w:val="00014AD5"/>
    <w:rsid w:val="00015563"/>
    <w:rsid w:val="00017465"/>
    <w:rsid w:val="00020144"/>
    <w:rsid w:val="0002170F"/>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37584"/>
    <w:rsid w:val="00040095"/>
    <w:rsid w:val="000411B5"/>
    <w:rsid w:val="0004128D"/>
    <w:rsid w:val="000412FF"/>
    <w:rsid w:val="00041F3A"/>
    <w:rsid w:val="00042582"/>
    <w:rsid w:val="0004360D"/>
    <w:rsid w:val="000438AB"/>
    <w:rsid w:val="000440A2"/>
    <w:rsid w:val="000441DF"/>
    <w:rsid w:val="00044A39"/>
    <w:rsid w:val="00045F9B"/>
    <w:rsid w:val="00046B69"/>
    <w:rsid w:val="000511B8"/>
    <w:rsid w:val="000519FD"/>
    <w:rsid w:val="00052EE2"/>
    <w:rsid w:val="00054A85"/>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150B"/>
    <w:rsid w:val="00071AB1"/>
    <w:rsid w:val="00071BB5"/>
    <w:rsid w:val="00071E2F"/>
    <w:rsid w:val="00072E13"/>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7299"/>
    <w:rsid w:val="00087CC8"/>
    <w:rsid w:val="00090222"/>
    <w:rsid w:val="00090433"/>
    <w:rsid w:val="00090468"/>
    <w:rsid w:val="00090675"/>
    <w:rsid w:val="00090B68"/>
    <w:rsid w:val="00090F71"/>
    <w:rsid w:val="000910D0"/>
    <w:rsid w:val="00091C4F"/>
    <w:rsid w:val="00092D8B"/>
    <w:rsid w:val="00093977"/>
    <w:rsid w:val="00093C96"/>
    <w:rsid w:val="000948B0"/>
    <w:rsid w:val="000951EC"/>
    <w:rsid w:val="000953DD"/>
    <w:rsid w:val="00096258"/>
    <w:rsid w:val="00096968"/>
    <w:rsid w:val="000A0C20"/>
    <w:rsid w:val="000A3174"/>
    <w:rsid w:val="000A39A9"/>
    <w:rsid w:val="000A3B6D"/>
    <w:rsid w:val="000A72EA"/>
    <w:rsid w:val="000A787B"/>
    <w:rsid w:val="000B04E9"/>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E284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CB2"/>
    <w:rsid w:val="00104088"/>
    <w:rsid w:val="00104632"/>
    <w:rsid w:val="00104DC4"/>
    <w:rsid w:val="00105D5B"/>
    <w:rsid w:val="00106312"/>
    <w:rsid w:val="001102B9"/>
    <w:rsid w:val="001103B9"/>
    <w:rsid w:val="001104C7"/>
    <w:rsid w:val="0011173A"/>
    <w:rsid w:val="001122A4"/>
    <w:rsid w:val="00112B1A"/>
    <w:rsid w:val="00113378"/>
    <w:rsid w:val="00113DD5"/>
    <w:rsid w:val="001142B9"/>
    <w:rsid w:val="00114BDD"/>
    <w:rsid w:val="00114D8D"/>
    <w:rsid w:val="001163C5"/>
    <w:rsid w:val="00117BD2"/>
    <w:rsid w:val="001200FE"/>
    <w:rsid w:val="00120844"/>
    <w:rsid w:val="001213DB"/>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120"/>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6F6"/>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AE9"/>
    <w:rsid w:val="00163F06"/>
    <w:rsid w:val="00164B71"/>
    <w:rsid w:val="00164FA6"/>
    <w:rsid w:val="0016554E"/>
    <w:rsid w:val="00165993"/>
    <w:rsid w:val="00167080"/>
    <w:rsid w:val="0017065F"/>
    <w:rsid w:val="001713DD"/>
    <w:rsid w:val="00171628"/>
    <w:rsid w:val="00172042"/>
    <w:rsid w:val="00172EEE"/>
    <w:rsid w:val="0017361A"/>
    <w:rsid w:val="00173650"/>
    <w:rsid w:val="001741A0"/>
    <w:rsid w:val="0017477F"/>
    <w:rsid w:val="00174F9F"/>
    <w:rsid w:val="00174FB8"/>
    <w:rsid w:val="001766C5"/>
    <w:rsid w:val="00176B6A"/>
    <w:rsid w:val="001813F0"/>
    <w:rsid w:val="001816CD"/>
    <w:rsid w:val="001833C6"/>
    <w:rsid w:val="001846E7"/>
    <w:rsid w:val="001859A2"/>
    <w:rsid w:val="00185ACB"/>
    <w:rsid w:val="00185F5E"/>
    <w:rsid w:val="00186919"/>
    <w:rsid w:val="0018697C"/>
    <w:rsid w:val="001869A7"/>
    <w:rsid w:val="001874AF"/>
    <w:rsid w:val="001878AC"/>
    <w:rsid w:val="00190B91"/>
    <w:rsid w:val="00191215"/>
    <w:rsid w:val="00191912"/>
    <w:rsid w:val="0019221B"/>
    <w:rsid w:val="00192A6B"/>
    <w:rsid w:val="00193572"/>
    <w:rsid w:val="001939FA"/>
    <w:rsid w:val="00194CD0"/>
    <w:rsid w:val="0019632C"/>
    <w:rsid w:val="0019639F"/>
    <w:rsid w:val="001A01FD"/>
    <w:rsid w:val="001A02D9"/>
    <w:rsid w:val="001A0665"/>
    <w:rsid w:val="001A0A06"/>
    <w:rsid w:val="001A145C"/>
    <w:rsid w:val="001A192A"/>
    <w:rsid w:val="001A2281"/>
    <w:rsid w:val="001A2443"/>
    <w:rsid w:val="001A2746"/>
    <w:rsid w:val="001A2DC3"/>
    <w:rsid w:val="001A2FC2"/>
    <w:rsid w:val="001A58FD"/>
    <w:rsid w:val="001A6D8E"/>
    <w:rsid w:val="001A7D44"/>
    <w:rsid w:val="001B1C44"/>
    <w:rsid w:val="001B27B2"/>
    <w:rsid w:val="001B3707"/>
    <w:rsid w:val="001B38CB"/>
    <w:rsid w:val="001B3AA1"/>
    <w:rsid w:val="001B478E"/>
    <w:rsid w:val="001B49C9"/>
    <w:rsid w:val="001B4AFA"/>
    <w:rsid w:val="001B569B"/>
    <w:rsid w:val="001B7DF6"/>
    <w:rsid w:val="001C1C1C"/>
    <w:rsid w:val="001C1D60"/>
    <w:rsid w:val="001C28B2"/>
    <w:rsid w:val="001C2938"/>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2DE5"/>
    <w:rsid w:val="001F3640"/>
    <w:rsid w:val="001F4321"/>
    <w:rsid w:val="001F5C44"/>
    <w:rsid w:val="001F637E"/>
    <w:rsid w:val="001F7831"/>
    <w:rsid w:val="001F7C4C"/>
    <w:rsid w:val="002002F5"/>
    <w:rsid w:val="002009F6"/>
    <w:rsid w:val="0020111A"/>
    <w:rsid w:val="0020116D"/>
    <w:rsid w:val="0020194A"/>
    <w:rsid w:val="002022A3"/>
    <w:rsid w:val="002029A9"/>
    <w:rsid w:val="002039D5"/>
    <w:rsid w:val="0020402E"/>
    <w:rsid w:val="00204045"/>
    <w:rsid w:val="00204AE9"/>
    <w:rsid w:val="00207DBE"/>
    <w:rsid w:val="00210C7B"/>
    <w:rsid w:val="00211383"/>
    <w:rsid w:val="00211A7D"/>
    <w:rsid w:val="00211B0E"/>
    <w:rsid w:val="00212425"/>
    <w:rsid w:val="00212659"/>
    <w:rsid w:val="0021364D"/>
    <w:rsid w:val="00215618"/>
    <w:rsid w:val="002156A8"/>
    <w:rsid w:val="00215A94"/>
    <w:rsid w:val="00215C7D"/>
    <w:rsid w:val="00215F9A"/>
    <w:rsid w:val="00216FA7"/>
    <w:rsid w:val="002171E0"/>
    <w:rsid w:val="002207CD"/>
    <w:rsid w:val="00220887"/>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67F9A"/>
    <w:rsid w:val="002724AE"/>
    <w:rsid w:val="00272C8E"/>
    <w:rsid w:val="00273CB1"/>
    <w:rsid w:val="00273EAF"/>
    <w:rsid w:val="002747EC"/>
    <w:rsid w:val="00274B5E"/>
    <w:rsid w:val="002759D0"/>
    <w:rsid w:val="00276077"/>
    <w:rsid w:val="00276569"/>
    <w:rsid w:val="00276E63"/>
    <w:rsid w:val="00277DBA"/>
    <w:rsid w:val="00280137"/>
    <w:rsid w:val="0028023E"/>
    <w:rsid w:val="002821B6"/>
    <w:rsid w:val="002826DB"/>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487A"/>
    <w:rsid w:val="00295C81"/>
    <w:rsid w:val="002965A2"/>
    <w:rsid w:val="00296B72"/>
    <w:rsid w:val="002A07A8"/>
    <w:rsid w:val="002A0C1A"/>
    <w:rsid w:val="002A2168"/>
    <w:rsid w:val="002A2ED3"/>
    <w:rsid w:val="002A32D7"/>
    <w:rsid w:val="002A412B"/>
    <w:rsid w:val="002A4838"/>
    <w:rsid w:val="002A50F4"/>
    <w:rsid w:val="002A74E7"/>
    <w:rsid w:val="002A7A23"/>
    <w:rsid w:val="002A7C31"/>
    <w:rsid w:val="002A7CEE"/>
    <w:rsid w:val="002B0DEB"/>
    <w:rsid w:val="002B100E"/>
    <w:rsid w:val="002B1A60"/>
    <w:rsid w:val="002B24E4"/>
    <w:rsid w:val="002B3267"/>
    <w:rsid w:val="002B37A4"/>
    <w:rsid w:val="002B3C62"/>
    <w:rsid w:val="002B4C79"/>
    <w:rsid w:val="002B4F31"/>
    <w:rsid w:val="002B5128"/>
    <w:rsid w:val="002B69B6"/>
    <w:rsid w:val="002B6AF6"/>
    <w:rsid w:val="002B6B39"/>
    <w:rsid w:val="002B73BE"/>
    <w:rsid w:val="002B7CE5"/>
    <w:rsid w:val="002C0563"/>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461"/>
    <w:rsid w:val="002E3CCA"/>
    <w:rsid w:val="002E4A43"/>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0D6"/>
    <w:rsid w:val="003014AE"/>
    <w:rsid w:val="00301F89"/>
    <w:rsid w:val="00302A77"/>
    <w:rsid w:val="00302D6B"/>
    <w:rsid w:val="003030CA"/>
    <w:rsid w:val="00304648"/>
    <w:rsid w:val="00304AD9"/>
    <w:rsid w:val="00304C2E"/>
    <w:rsid w:val="0030663A"/>
    <w:rsid w:val="00306E1E"/>
    <w:rsid w:val="00306F0D"/>
    <w:rsid w:val="00307576"/>
    <w:rsid w:val="00307CAF"/>
    <w:rsid w:val="00310CA1"/>
    <w:rsid w:val="00311D59"/>
    <w:rsid w:val="0031242E"/>
    <w:rsid w:val="00312664"/>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0884"/>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5BF"/>
    <w:rsid w:val="00343D41"/>
    <w:rsid w:val="00345696"/>
    <w:rsid w:val="00345FD6"/>
    <w:rsid w:val="003477E7"/>
    <w:rsid w:val="00351873"/>
    <w:rsid w:val="00351D31"/>
    <w:rsid w:val="003536A7"/>
    <w:rsid w:val="00353AF5"/>
    <w:rsid w:val="00354524"/>
    <w:rsid w:val="0035462D"/>
    <w:rsid w:val="0035491B"/>
    <w:rsid w:val="0035491C"/>
    <w:rsid w:val="00354DFE"/>
    <w:rsid w:val="0035627C"/>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D1A"/>
    <w:rsid w:val="003757B7"/>
    <w:rsid w:val="0037787D"/>
    <w:rsid w:val="003803CA"/>
    <w:rsid w:val="0038079F"/>
    <w:rsid w:val="00380A18"/>
    <w:rsid w:val="00380A4A"/>
    <w:rsid w:val="00380BFB"/>
    <w:rsid w:val="0038223F"/>
    <w:rsid w:val="00382AC9"/>
    <w:rsid w:val="00382F1A"/>
    <w:rsid w:val="003839A9"/>
    <w:rsid w:val="0038401B"/>
    <w:rsid w:val="00384FC9"/>
    <w:rsid w:val="00385F69"/>
    <w:rsid w:val="003860EA"/>
    <w:rsid w:val="0038791C"/>
    <w:rsid w:val="00390F9A"/>
    <w:rsid w:val="00391D26"/>
    <w:rsid w:val="00391EDB"/>
    <w:rsid w:val="003921A4"/>
    <w:rsid w:val="00393186"/>
    <w:rsid w:val="003932D4"/>
    <w:rsid w:val="00394B47"/>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B65DE"/>
    <w:rsid w:val="003C0902"/>
    <w:rsid w:val="003C11BB"/>
    <w:rsid w:val="003C1C27"/>
    <w:rsid w:val="003C1ECA"/>
    <w:rsid w:val="003C4412"/>
    <w:rsid w:val="003C4E37"/>
    <w:rsid w:val="003C59E3"/>
    <w:rsid w:val="003C6106"/>
    <w:rsid w:val="003C64A9"/>
    <w:rsid w:val="003C6EE5"/>
    <w:rsid w:val="003C71BD"/>
    <w:rsid w:val="003C7253"/>
    <w:rsid w:val="003D00AB"/>
    <w:rsid w:val="003D077C"/>
    <w:rsid w:val="003D0864"/>
    <w:rsid w:val="003D1900"/>
    <w:rsid w:val="003D1E0C"/>
    <w:rsid w:val="003D2DBC"/>
    <w:rsid w:val="003D3885"/>
    <w:rsid w:val="003D3D7C"/>
    <w:rsid w:val="003D4E00"/>
    <w:rsid w:val="003D60BB"/>
    <w:rsid w:val="003D62F9"/>
    <w:rsid w:val="003D7042"/>
    <w:rsid w:val="003D71B0"/>
    <w:rsid w:val="003E026D"/>
    <w:rsid w:val="003E16BE"/>
    <w:rsid w:val="003E1BC0"/>
    <w:rsid w:val="003E1F2D"/>
    <w:rsid w:val="003E2946"/>
    <w:rsid w:val="003E41C6"/>
    <w:rsid w:val="003E4A6A"/>
    <w:rsid w:val="003E4A9C"/>
    <w:rsid w:val="003E60CA"/>
    <w:rsid w:val="003E7110"/>
    <w:rsid w:val="003E735C"/>
    <w:rsid w:val="003E7657"/>
    <w:rsid w:val="003F037E"/>
    <w:rsid w:val="003F0760"/>
    <w:rsid w:val="003F13D7"/>
    <w:rsid w:val="003F1867"/>
    <w:rsid w:val="003F22E0"/>
    <w:rsid w:val="003F2ECB"/>
    <w:rsid w:val="003F436D"/>
    <w:rsid w:val="003F7075"/>
    <w:rsid w:val="003F7ED7"/>
    <w:rsid w:val="004000B4"/>
    <w:rsid w:val="00400D77"/>
    <w:rsid w:val="004013FA"/>
    <w:rsid w:val="00401443"/>
    <w:rsid w:val="00401855"/>
    <w:rsid w:val="004032C7"/>
    <w:rsid w:val="004035CF"/>
    <w:rsid w:val="00405800"/>
    <w:rsid w:val="00405B10"/>
    <w:rsid w:val="00405BDC"/>
    <w:rsid w:val="00405FF5"/>
    <w:rsid w:val="00406CD2"/>
    <w:rsid w:val="00407173"/>
    <w:rsid w:val="00407A10"/>
    <w:rsid w:val="00410CBA"/>
    <w:rsid w:val="00411158"/>
    <w:rsid w:val="00411778"/>
    <w:rsid w:val="004122F0"/>
    <w:rsid w:val="00412662"/>
    <w:rsid w:val="004135C7"/>
    <w:rsid w:val="00413B2D"/>
    <w:rsid w:val="00413D93"/>
    <w:rsid w:val="004153C2"/>
    <w:rsid w:val="0041688E"/>
    <w:rsid w:val="00416E97"/>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30C"/>
    <w:rsid w:val="0044532C"/>
    <w:rsid w:val="0044596F"/>
    <w:rsid w:val="00445B25"/>
    <w:rsid w:val="00445C71"/>
    <w:rsid w:val="004461BA"/>
    <w:rsid w:val="004469C6"/>
    <w:rsid w:val="00446AE9"/>
    <w:rsid w:val="00446AF5"/>
    <w:rsid w:val="0045083D"/>
    <w:rsid w:val="0045180A"/>
    <w:rsid w:val="0045244A"/>
    <w:rsid w:val="00456600"/>
    <w:rsid w:val="0045751F"/>
    <w:rsid w:val="0045781F"/>
    <w:rsid w:val="00460045"/>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1D9"/>
    <w:rsid w:val="00484567"/>
    <w:rsid w:val="00484912"/>
    <w:rsid w:val="00484BC4"/>
    <w:rsid w:val="00484E46"/>
    <w:rsid w:val="00485882"/>
    <w:rsid w:val="0048599A"/>
    <w:rsid w:val="00485C77"/>
    <w:rsid w:val="0048786D"/>
    <w:rsid w:val="00487ACF"/>
    <w:rsid w:val="004908A9"/>
    <w:rsid w:val="00492E37"/>
    <w:rsid w:val="004932A1"/>
    <w:rsid w:val="00495C5A"/>
    <w:rsid w:val="00495FE0"/>
    <w:rsid w:val="00496D27"/>
    <w:rsid w:val="004974CC"/>
    <w:rsid w:val="004A0319"/>
    <w:rsid w:val="004A04DA"/>
    <w:rsid w:val="004A06B1"/>
    <w:rsid w:val="004A1443"/>
    <w:rsid w:val="004A1B65"/>
    <w:rsid w:val="004A21D1"/>
    <w:rsid w:val="004A2D59"/>
    <w:rsid w:val="004A2ED4"/>
    <w:rsid w:val="004A3CB6"/>
    <w:rsid w:val="004A4BC5"/>
    <w:rsid w:val="004A55DB"/>
    <w:rsid w:val="004A5F91"/>
    <w:rsid w:val="004A658C"/>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C7F13"/>
    <w:rsid w:val="004D0648"/>
    <w:rsid w:val="004D0719"/>
    <w:rsid w:val="004D0FBE"/>
    <w:rsid w:val="004D2113"/>
    <w:rsid w:val="004D3578"/>
    <w:rsid w:val="004D380D"/>
    <w:rsid w:val="004D4405"/>
    <w:rsid w:val="004D442B"/>
    <w:rsid w:val="004D4571"/>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DC1"/>
    <w:rsid w:val="004E5707"/>
    <w:rsid w:val="004E5964"/>
    <w:rsid w:val="004E6678"/>
    <w:rsid w:val="004E6DCB"/>
    <w:rsid w:val="004E7988"/>
    <w:rsid w:val="004E7DA9"/>
    <w:rsid w:val="004F0B91"/>
    <w:rsid w:val="004F14E7"/>
    <w:rsid w:val="004F36E0"/>
    <w:rsid w:val="004F47A3"/>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8BF"/>
    <w:rsid w:val="00504E7D"/>
    <w:rsid w:val="00505481"/>
    <w:rsid w:val="00506C28"/>
    <w:rsid w:val="0050795D"/>
    <w:rsid w:val="00507BD6"/>
    <w:rsid w:val="00507DCE"/>
    <w:rsid w:val="00510A64"/>
    <w:rsid w:val="005110C6"/>
    <w:rsid w:val="00511198"/>
    <w:rsid w:val="00511D0D"/>
    <w:rsid w:val="00511DB6"/>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58F"/>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6DB0"/>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2697"/>
    <w:rsid w:val="005D273C"/>
    <w:rsid w:val="005D315B"/>
    <w:rsid w:val="005D3B35"/>
    <w:rsid w:val="005D414B"/>
    <w:rsid w:val="005D4BF8"/>
    <w:rsid w:val="005D5072"/>
    <w:rsid w:val="005D5447"/>
    <w:rsid w:val="005D662B"/>
    <w:rsid w:val="005D7FDC"/>
    <w:rsid w:val="005E16A1"/>
    <w:rsid w:val="005E1A07"/>
    <w:rsid w:val="005E1CCA"/>
    <w:rsid w:val="005E2219"/>
    <w:rsid w:val="005E3097"/>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751"/>
    <w:rsid w:val="00600BFD"/>
    <w:rsid w:val="00600C9B"/>
    <w:rsid w:val="0060123B"/>
    <w:rsid w:val="00601D01"/>
    <w:rsid w:val="00602641"/>
    <w:rsid w:val="00602F43"/>
    <w:rsid w:val="0060324C"/>
    <w:rsid w:val="0060336F"/>
    <w:rsid w:val="00603E70"/>
    <w:rsid w:val="0060417D"/>
    <w:rsid w:val="006061C4"/>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2FBE"/>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1FCD"/>
    <w:rsid w:val="00692129"/>
    <w:rsid w:val="00693CEA"/>
    <w:rsid w:val="00694C54"/>
    <w:rsid w:val="0069512B"/>
    <w:rsid w:val="00695F32"/>
    <w:rsid w:val="0069776D"/>
    <w:rsid w:val="006A0843"/>
    <w:rsid w:val="006A107E"/>
    <w:rsid w:val="006A1B94"/>
    <w:rsid w:val="006A1E83"/>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3A65"/>
    <w:rsid w:val="006C4E54"/>
    <w:rsid w:val="006C4ECB"/>
    <w:rsid w:val="006C4F55"/>
    <w:rsid w:val="006C5BE1"/>
    <w:rsid w:val="006C66D8"/>
    <w:rsid w:val="006C7C87"/>
    <w:rsid w:val="006C7D66"/>
    <w:rsid w:val="006C7DF7"/>
    <w:rsid w:val="006D0A88"/>
    <w:rsid w:val="006D1A22"/>
    <w:rsid w:val="006D1E24"/>
    <w:rsid w:val="006D2BB5"/>
    <w:rsid w:val="006D59FF"/>
    <w:rsid w:val="006D6102"/>
    <w:rsid w:val="006D6155"/>
    <w:rsid w:val="006D6385"/>
    <w:rsid w:val="006E0057"/>
    <w:rsid w:val="006E082A"/>
    <w:rsid w:val="006E08C3"/>
    <w:rsid w:val="006E1417"/>
    <w:rsid w:val="006E2183"/>
    <w:rsid w:val="006E2A88"/>
    <w:rsid w:val="006E325A"/>
    <w:rsid w:val="006E444E"/>
    <w:rsid w:val="006E4A9E"/>
    <w:rsid w:val="006E58BE"/>
    <w:rsid w:val="006E69C0"/>
    <w:rsid w:val="006E6BA0"/>
    <w:rsid w:val="006E701F"/>
    <w:rsid w:val="006E7EAF"/>
    <w:rsid w:val="006F0DB0"/>
    <w:rsid w:val="006F0F09"/>
    <w:rsid w:val="006F11BD"/>
    <w:rsid w:val="006F1FA7"/>
    <w:rsid w:val="006F3F62"/>
    <w:rsid w:val="006F46F0"/>
    <w:rsid w:val="006F4919"/>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568"/>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567B"/>
    <w:rsid w:val="00755734"/>
    <w:rsid w:val="00755B24"/>
    <w:rsid w:val="00755B74"/>
    <w:rsid w:val="007579A9"/>
    <w:rsid w:val="00757D40"/>
    <w:rsid w:val="00760980"/>
    <w:rsid w:val="00760FBA"/>
    <w:rsid w:val="00761D17"/>
    <w:rsid w:val="0076222A"/>
    <w:rsid w:val="00763A4E"/>
    <w:rsid w:val="00763D86"/>
    <w:rsid w:val="007657B8"/>
    <w:rsid w:val="007657ED"/>
    <w:rsid w:val="00765BCB"/>
    <w:rsid w:val="0076606E"/>
    <w:rsid w:val="00767684"/>
    <w:rsid w:val="0076783C"/>
    <w:rsid w:val="00767C7F"/>
    <w:rsid w:val="00770CD4"/>
    <w:rsid w:val="0077251D"/>
    <w:rsid w:val="00772D31"/>
    <w:rsid w:val="007731AF"/>
    <w:rsid w:val="00773C5F"/>
    <w:rsid w:val="007750B4"/>
    <w:rsid w:val="00775800"/>
    <w:rsid w:val="00775B3A"/>
    <w:rsid w:val="0077728C"/>
    <w:rsid w:val="00777A0A"/>
    <w:rsid w:val="00777F24"/>
    <w:rsid w:val="0078110C"/>
    <w:rsid w:val="00781B4C"/>
    <w:rsid w:val="00781F0F"/>
    <w:rsid w:val="00782012"/>
    <w:rsid w:val="00782139"/>
    <w:rsid w:val="00783304"/>
    <w:rsid w:val="007846F6"/>
    <w:rsid w:val="00785F67"/>
    <w:rsid w:val="00786844"/>
    <w:rsid w:val="0078727C"/>
    <w:rsid w:val="00787CB8"/>
    <w:rsid w:val="00790255"/>
    <w:rsid w:val="0079049D"/>
    <w:rsid w:val="00791092"/>
    <w:rsid w:val="00791656"/>
    <w:rsid w:val="00791E9A"/>
    <w:rsid w:val="0079289B"/>
    <w:rsid w:val="00792DBB"/>
    <w:rsid w:val="0079365A"/>
    <w:rsid w:val="00793F56"/>
    <w:rsid w:val="00795A84"/>
    <w:rsid w:val="0079695B"/>
    <w:rsid w:val="00797A4C"/>
    <w:rsid w:val="007A24FF"/>
    <w:rsid w:val="007A2817"/>
    <w:rsid w:val="007A3D78"/>
    <w:rsid w:val="007A42F5"/>
    <w:rsid w:val="007A4CEC"/>
    <w:rsid w:val="007A4E89"/>
    <w:rsid w:val="007A54E1"/>
    <w:rsid w:val="007A5A67"/>
    <w:rsid w:val="007A704A"/>
    <w:rsid w:val="007A72E5"/>
    <w:rsid w:val="007B014E"/>
    <w:rsid w:val="007B07D4"/>
    <w:rsid w:val="007B09BB"/>
    <w:rsid w:val="007B145B"/>
    <w:rsid w:val="007B18D8"/>
    <w:rsid w:val="007B190F"/>
    <w:rsid w:val="007B1EC4"/>
    <w:rsid w:val="007B249B"/>
    <w:rsid w:val="007B3472"/>
    <w:rsid w:val="007B41E1"/>
    <w:rsid w:val="007B420B"/>
    <w:rsid w:val="007B449B"/>
    <w:rsid w:val="007B4BDB"/>
    <w:rsid w:val="007B65DA"/>
    <w:rsid w:val="007B7B00"/>
    <w:rsid w:val="007B7D44"/>
    <w:rsid w:val="007C095F"/>
    <w:rsid w:val="007C0C25"/>
    <w:rsid w:val="007C16D4"/>
    <w:rsid w:val="007C1E0C"/>
    <w:rsid w:val="007C20B0"/>
    <w:rsid w:val="007C2B5F"/>
    <w:rsid w:val="007C2C4E"/>
    <w:rsid w:val="007C61C3"/>
    <w:rsid w:val="007C7636"/>
    <w:rsid w:val="007C76B7"/>
    <w:rsid w:val="007C76BE"/>
    <w:rsid w:val="007C7A75"/>
    <w:rsid w:val="007C7A9F"/>
    <w:rsid w:val="007C7D10"/>
    <w:rsid w:val="007D11EE"/>
    <w:rsid w:val="007D1236"/>
    <w:rsid w:val="007D1341"/>
    <w:rsid w:val="007D1ABD"/>
    <w:rsid w:val="007D1E7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C03"/>
    <w:rsid w:val="007F4E37"/>
    <w:rsid w:val="007F59D1"/>
    <w:rsid w:val="007F6FE5"/>
    <w:rsid w:val="0080013E"/>
    <w:rsid w:val="00800775"/>
    <w:rsid w:val="0080156C"/>
    <w:rsid w:val="008028A4"/>
    <w:rsid w:val="00803B05"/>
    <w:rsid w:val="00803C61"/>
    <w:rsid w:val="00804CC9"/>
    <w:rsid w:val="00806CAE"/>
    <w:rsid w:val="0080744A"/>
    <w:rsid w:val="008075F8"/>
    <w:rsid w:val="00811996"/>
    <w:rsid w:val="0081199C"/>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401A6"/>
    <w:rsid w:val="0084071D"/>
    <w:rsid w:val="00841500"/>
    <w:rsid w:val="008419A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4805"/>
    <w:rsid w:val="0085690C"/>
    <w:rsid w:val="0086010D"/>
    <w:rsid w:val="00860578"/>
    <w:rsid w:val="00860B35"/>
    <w:rsid w:val="00862B60"/>
    <w:rsid w:val="00863930"/>
    <w:rsid w:val="00863D3D"/>
    <w:rsid w:val="00865183"/>
    <w:rsid w:val="00865601"/>
    <w:rsid w:val="008656A0"/>
    <w:rsid w:val="0086590D"/>
    <w:rsid w:val="00865BCB"/>
    <w:rsid w:val="00866F7A"/>
    <w:rsid w:val="00870DAD"/>
    <w:rsid w:val="0087263F"/>
    <w:rsid w:val="00875B00"/>
    <w:rsid w:val="00875EB4"/>
    <w:rsid w:val="008762F7"/>
    <w:rsid w:val="008766FA"/>
    <w:rsid w:val="008768CA"/>
    <w:rsid w:val="00877010"/>
    <w:rsid w:val="00877EA0"/>
    <w:rsid w:val="00877EF9"/>
    <w:rsid w:val="00880559"/>
    <w:rsid w:val="008810E8"/>
    <w:rsid w:val="008815A4"/>
    <w:rsid w:val="00881AD9"/>
    <w:rsid w:val="00881FB1"/>
    <w:rsid w:val="00882E89"/>
    <w:rsid w:val="00883DE9"/>
    <w:rsid w:val="008849C0"/>
    <w:rsid w:val="00885893"/>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30C1"/>
    <w:rsid w:val="008A3C86"/>
    <w:rsid w:val="008A41D0"/>
    <w:rsid w:val="008A4549"/>
    <w:rsid w:val="008A47BD"/>
    <w:rsid w:val="008A47D7"/>
    <w:rsid w:val="008A507A"/>
    <w:rsid w:val="008A6500"/>
    <w:rsid w:val="008A7522"/>
    <w:rsid w:val="008B0EAB"/>
    <w:rsid w:val="008B1412"/>
    <w:rsid w:val="008B270F"/>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E29"/>
    <w:rsid w:val="008E36F0"/>
    <w:rsid w:val="008E398C"/>
    <w:rsid w:val="008E3A0D"/>
    <w:rsid w:val="008E3E5F"/>
    <w:rsid w:val="008E54A0"/>
    <w:rsid w:val="008E69BD"/>
    <w:rsid w:val="008F0426"/>
    <w:rsid w:val="008F0908"/>
    <w:rsid w:val="008F41E9"/>
    <w:rsid w:val="008F53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5599"/>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8C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A0561"/>
    <w:rsid w:val="009A0941"/>
    <w:rsid w:val="009A0AF3"/>
    <w:rsid w:val="009A0E05"/>
    <w:rsid w:val="009A1524"/>
    <w:rsid w:val="009A1E2F"/>
    <w:rsid w:val="009A1E95"/>
    <w:rsid w:val="009A2039"/>
    <w:rsid w:val="009A27B6"/>
    <w:rsid w:val="009A355F"/>
    <w:rsid w:val="009A3E04"/>
    <w:rsid w:val="009A3F3F"/>
    <w:rsid w:val="009A5150"/>
    <w:rsid w:val="009A6E6D"/>
    <w:rsid w:val="009A6ECB"/>
    <w:rsid w:val="009A73A3"/>
    <w:rsid w:val="009B028B"/>
    <w:rsid w:val="009B03C8"/>
    <w:rsid w:val="009B05FC"/>
    <w:rsid w:val="009B07CD"/>
    <w:rsid w:val="009B0DF7"/>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C75A7"/>
    <w:rsid w:val="009D0F24"/>
    <w:rsid w:val="009D12D2"/>
    <w:rsid w:val="009D18CD"/>
    <w:rsid w:val="009D2DA6"/>
    <w:rsid w:val="009D3610"/>
    <w:rsid w:val="009D5472"/>
    <w:rsid w:val="009D5501"/>
    <w:rsid w:val="009D59FB"/>
    <w:rsid w:val="009D5EA8"/>
    <w:rsid w:val="009D6DE9"/>
    <w:rsid w:val="009D72B2"/>
    <w:rsid w:val="009E027F"/>
    <w:rsid w:val="009E1724"/>
    <w:rsid w:val="009E18B2"/>
    <w:rsid w:val="009E1A79"/>
    <w:rsid w:val="009E1ADA"/>
    <w:rsid w:val="009E1E03"/>
    <w:rsid w:val="009E2F69"/>
    <w:rsid w:val="009E354F"/>
    <w:rsid w:val="009E364D"/>
    <w:rsid w:val="009E3689"/>
    <w:rsid w:val="009E4322"/>
    <w:rsid w:val="009E4D2D"/>
    <w:rsid w:val="009E66FA"/>
    <w:rsid w:val="009E7D45"/>
    <w:rsid w:val="009F12D0"/>
    <w:rsid w:val="009F1392"/>
    <w:rsid w:val="009F14A8"/>
    <w:rsid w:val="009F2063"/>
    <w:rsid w:val="009F22DB"/>
    <w:rsid w:val="009F3A3F"/>
    <w:rsid w:val="009F3B87"/>
    <w:rsid w:val="009F3D2E"/>
    <w:rsid w:val="009F500F"/>
    <w:rsid w:val="009F5355"/>
    <w:rsid w:val="009F54F9"/>
    <w:rsid w:val="009F7203"/>
    <w:rsid w:val="009F752B"/>
    <w:rsid w:val="00A0245E"/>
    <w:rsid w:val="00A036B7"/>
    <w:rsid w:val="00A04CF4"/>
    <w:rsid w:val="00A04D1F"/>
    <w:rsid w:val="00A052A4"/>
    <w:rsid w:val="00A06B9E"/>
    <w:rsid w:val="00A07490"/>
    <w:rsid w:val="00A07941"/>
    <w:rsid w:val="00A1053B"/>
    <w:rsid w:val="00A1095C"/>
    <w:rsid w:val="00A10F02"/>
    <w:rsid w:val="00A13034"/>
    <w:rsid w:val="00A1360D"/>
    <w:rsid w:val="00A13B63"/>
    <w:rsid w:val="00A14985"/>
    <w:rsid w:val="00A15F54"/>
    <w:rsid w:val="00A175AE"/>
    <w:rsid w:val="00A204CA"/>
    <w:rsid w:val="00A205D7"/>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2C24"/>
    <w:rsid w:val="00A33110"/>
    <w:rsid w:val="00A34742"/>
    <w:rsid w:val="00A3562E"/>
    <w:rsid w:val="00A35E9D"/>
    <w:rsid w:val="00A369EF"/>
    <w:rsid w:val="00A37282"/>
    <w:rsid w:val="00A372AE"/>
    <w:rsid w:val="00A40076"/>
    <w:rsid w:val="00A40362"/>
    <w:rsid w:val="00A41B8B"/>
    <w:rsid w:val="00A42202"/>
    <w:rsid w:val="00A42CA3"/>
    <w:rsid w:val="00A43167"/>
    <w:rsid w:val="00A4488D"/>
    <w:rsid w:val="00A44AA1"/>
    <w:rsid w:val="00A45653"/>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E75"/>
    <w:rsid w:val="00A61A6E"/>
    <w:rsid w:val="00A62DD8"/>
    <w:rsid w:val="00A630D1"/>
    <w:rsid w:val="00A638C1"/>
    <w:rsid w:val="00A658F4"/>
    <w:rsid w:val="00A66621"/>
    <w:rsid w:val="00A66867"/>
    <w:rsid w:val="00A669CE"/>
    <w:rsid w:val="00A66CDF"/>
    <w:rsid w:val="00A66E5E"/>
    <w:rsid w:val="00A726C8"/>
    <w:rsid w:val="00A74021"/>
    <w:rsid w:val="00A74259"/>
    <w:rsid w:val="00A74848"/>
    <w:rsid w:val="00A76255"/>
    <w:rsid w:val="00A76318"/>
    <w:rsid w:val="00A7674C"/>
    <w:rsid w:val="00A772A7"/>
    <w:rsid w:val="00A8013C"/>
    <w:rsid w:val="00A81612"/>
    <w:rsid w:val="00A822DB"/>
    <w:rsid w:val="00A82346"/>
    <w:rsid w:val="00A82401"/>
    <w:rsid w:val="00A8296F"/>
    <w:rsid w:val="00A8585D"/>
    <w:rsid w:val="00A904BD"/>
    <w:rsid w:val="00A90E7C"/>
    <w:rsid w:val="00A93131"/>
    <w:rsid w:val="00A938C3"/>
    <w:rsid w:val="00A93D99"/>
    <w:rsid w:val="00A95E36"/>
    <w:rsid w:val="00A95E90"/>
    <w:rsid w:val="00A961B2"/>
    <w:rsid w:val="00A9671C"/>
    <w:rsid w:val="00A967F0"/>
    <w:rsid w:val="00A9697E"/>
    <w:rsid w:val="00A96A2E"/>
    <w:rsid w:val="00AA0E96"/>
    <w:rsid w:val="00AA14C1"/>
    <w:rsid w:val="00AA1553"/>
    <w:rsid w:val="00AA1F72"/>
    <w:rsid w:val="00AA1FA8"/>
    <w:rsid w:val="00AA20AB"/>
    <w:rsid w:val="00AA3636"/>
    <w:rsid w:val="00AA3BA7"/>
    <w:rsid w:val="00AA4058"/>
    <w:rsid w:val="00AA41CC"/>
    <w:rsid w:val="00AA484C"/>
    <w:rsid w:val="00AA5163"/>
    <w:rsid w:val="00AA54AE"/>
    <w:rsid w:val="00AA5912"/>
    <w:rsid w:val="00AA6F48"/>
    <w:rsid w:val="00AB0711"/>
    <w:rsid w:val="00AB0DEA"/>
    <w:rsid w:val="00AB1408"/>
    <w:rsid w:val="00AB1C35"/>
    <w:rsid w:val="00AB1D62"/>
    <w:rsid w:val="00AB2366"/>
    <w:rsid w:val="00AB378A"/>
    <w:rsid w:val="00AB3F53"/>
    <w:rsid w:val="00AB4162"/>
    <w:rsid w:val="00AB43D5"/>
    <w:rsid w:val="00AB4B5A"/>
    <w:rsid w:val="00AB504B"/>
    <w:rsid w:val="00AB556A"/>
    <w:rsid w:val="00AB58FA"/>
    <w:rsid w:val="00AB5FEB"/>
    <w:rsid w:val="00AC0D65"/>
    <w:rsid w:val="00AC136F"/>
    <w:rsid w:val="00AC2ACB"/>
    <w:rsid w:val="00AC3968"/>
    <w:rsid w:val="00AC3D4C"/>
    <w:rsid w:val="00AC417A"/>
    <w:rsid w:val="00AC4C2B"/>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4D9"/>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0D0"/>
    <w:rsid w:val="00B54890"/>
    <w:rsid w:val="00B55A41"/>
    <w:rsid w:val="00B562CB"/>
    <w:rsid w:val="00B56615"/>
    <w:rsid w:val="00B566F8"/>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6B12"/>
    <w:rsid w:val="00B67DAA"/>
    <w:rsid w:val="00B72416"/>
    <w:rsid w:val="00B72A56"/>
    <w:rsid w:val="00B736C4"/>
    <w:rsid w:val="00B73D32"/>
    <w:rsid w:val="00B741FC"/>
    <w:rsid w:val="00B74231"/>
    <w:rsid w:val="00B744B6"/>
    <w:rsid w:val="00B74842"/>
    <w:rsid w:val="00B759E5"/>
    <w:rsid w:val="00B75EE5"/>
    <w:rsid w:val="00B764D9"/>
    <w:rsid w:val="00B77C41"/>
    <w:rsid w:val="00B77FD6"/>
    <w:rsid w:val="00B81E4A"/>
    <w:rsid w:val="00B82B22"/>
    <w:rsid w:val="00B83323"/>
    <w:rsid w:val="00B84099"/>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667"/>
    <w:rsid w:val="00BA7FDD"/>
    <w:rsid w:val="00BB0256"/>
    <w:rsid w:val="00BB14E5"/>
    <w:rsid w:val="00BB17E0"/>
    <w:rsid w:val="00BB2047"/>
    <w:rsid w:val="00BB366C"/>
    <w:rsid w:val="00BB44A6"/>
    <w:rsid w:val="00BB557C"/>
    <w:rsid w:val="00BB577D"/>
    <w:rsid w:val="00BB59E3"/>
    <w:rsid w:val="00BB5E5E"/>
    <w:rsid w:val="00BB67AA"/>
    <w:rsid w:val="00BB6BA0"/>
    <w:rsid w:val="00BB75E3"/>
    <w:rsid w:val="00BB7AFC"/>
    <w:rsid w:val="00BB7C60"/>
    <w:rsid w:val="00BC1247"/>
    <w:rsid w:val="00BC125B"/>
    <w:rsid w:val="00BC139F"/>
    <w:rsid w:val="00BC1C96"/>
    <w:rsid w:val="00BC223A"/>
    <w:rsid w:val="00BC24A8"/>
    <w:rsid w:val="00BC320D"/>
    <w:rsid w:val="00BC3B1B"/>
    <w:rsid w:val="00BC4631"/>
    <w:rsid w:val="00BC4905"/>
    <w:rsid w:val="00BC4F84"/>
    <w:rsid w:val="00BC5316"/>
    <w:rsid w:val="00BC56C6"/>
    <w:rsid w:val="00BC58DB"/>
    <w:rsid w:val="00BC69E4"/>
    <w:rsid w:val="00BC6DF1"/>
    <w:rsid w:val="00BC7D6E"/>
    <w:rsid w:val="00BD0924"/>
    <w:rsid w:val="00BD5535"/>
    <w:rsid w:val="00BD5FD4"/>
    <w:rsid w:val="00BD60FC"/>
    <w:rsid w:val="00BD63C3"/>
    <w:rsid w:val="00BD67B1"/>
    <w:rsid w:val="00BD75F6"/>
    <w:rsid w:val="00BE0596"/>
    <w:rsid w:val="00BE1AA2"/>
    <w:rsid w:val="00BE255E"/>
    <w:rsid w:val="00BE2F98"/>
    <w:rsid w:val="00BE3068"/>
    <w:rsid w:val="00BE31E3"/>
    <w:rsid w:val="00BE3598"/>
    <w:rsid w:val="00BE3C3D"/>
    <w:rsid w:val="00BE437E"/>
    <w:rsid w:val="00BE5AAD"/>
    <w:rsid w:val="00BE6130"/>
    <w:rsid w:val="00BE63B5"/>
    <w:rsid w:val="00BE6663"/>
    <w:rsid w:val="00BE75DD"/>
    <w:rsid w:val="00BE7A1C"/>
    <w:rsid w:val="00BE7CFF"/>
    <w:rsid w:val="00BF0410"/>
    <w:rsid w:val="00BF041B"/>
    <w:rsid w:val="00BF1590"/>
    <w:rsid w:val="00BF1A4A"/>
    <w:rsid w:val="00BF2671"/>
    <w:rsid w:val="00BF3E71"/>
    <w:rsid w:val="00BF4650"/>
    <w:rsid w:val="00BF4AB3"/>
    <w:rsid w:val="00BF605F"/>
    <w:rsid w:val="00BF655D"/>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6EDE"/>
    <w:rsid w:val="00C17B15"/>
    <w:rsid w:val="00C2053F"/>
    <w:rsid w:val="00C22397"/>
    <w:rsid w:val="00C23F63"/>
    <w:rsid w:val="00C241A4"/>
    <w:rsid w:val="00C24650"/>
    <w:rsid w:val="00C25AAF"/>
    <w:rsid w:val="00C26C6B"/>
    <w:rsid w:val="00C27B36"/>
    <w:rsid w:val="00C3291E"/>
    <w:rsid w:val="00C32BCD"/>
    <w:rsid w:val="00C33079"/>
    <w:rsid w:val="00C330DF"/>
    <w:rsid w:val="00C343D1"/>
    <w:rsid w:val="00C356FF"/>
    <w:rsid w:val="00C366CF"/>
    <w:rsid w:val="00C37568"/>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62D3"/>
    <w:rsid w:val="00C67041"/>
    <w:rsid w:val="00C677FA"/>
    <w:rsid w:val="00C67966"/>
    <w:rsid w:val="00C746FD"/>
    <w:rsid w:val="00C758F4"/>
    <w:rsid w:val="00C7625D"/>
    <w:rsid w:val="00C764ED"/>
    <w:rsid w:val="00C768BB"/>
    <w:rsid w:val="00C770E6"/>
    <w:rsid w:val="00C7777D"/>
    <w:rsid w:val="00C77E45"/>
    <w:rsid w:val="00C80404"/>
    <w:rsid w:val="00C80AE6"/>
    <w:rsid w:val="00C80C66"/>
    <w:rsid w:val="00C81BBB"/>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635"/>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70D0"/>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D99"/>
    <w:rsid w:val="00CD4810"/>
    <w:rsid w:val="00CD4C7B"/>
    <w:rsid w:val="00CD5B79"/>
    <w:rsid w:val="00CD5D52"/>
    <w:rsid w:val="00CD6435"/>
    <w:rsid w:val="00CD6631"/>
    <w:rsid w:val="00CD6C20"/>
    <w:rsid w:val="00CD74AB"/>
    <w:rsid w:val="00CE1251"/>
    <w:rsid w:val="00CE2784"/>
    <w:rsid w:val="00CE2D7B"/>
    <w:rsid w:val="00CE2FB5"/>
    <w:rsid w:val="00CE3213"/>
    <w:rsid w:val="00CE5584"/>
    <w:rsid w:val="00CE56D2"/>
    <w:rsid w:val="00CE7CA1"/>
    <w:rsid w:val="00CF0686"/>
    <w:rsid w:val="00CF18E0"/>
    <w:rsid w:val="00CF36E7"/>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D7"/>
    <w:rsid w:val="00D06D5E"/>
    <w:rsid w:val="00D06D98"/>
    <w:rsid w:val="00D1031E"/>
    <w:rsid w:val="00D103DB"/>
    <w:rsid w:val="00D10FED"/>
    <w:rsid w:val="00D11A22"/>
    <w:rsid w:val="00D1215F"/>
    <w:rsid w:val="00D12271"/>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4A2"/>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10CB"/>
    <w:rsid w:val="00D61B65"/>
    <w:rsid w:val="00D62B86"/>
    <w:rsid w:val="00D64452"/>
    <w:rsid w:val="00D644EA"/>
    <w:rsid w:val="00D678B0"/>
    <w:rsid w:val="00D679C7"/>
    <w:rsid w:val="00D70B4E"/>
    <w:rsid w:val="00D729EE"/>
    <w:rsid w:val="00D738D6"/>
    <w:rsid w:val="00D74157"/>
    <w:rsid w:val="00D7473D"/>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0B98"/>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4AA"/>
    <w:rsid w:val="00DB68F2"/>
    <w:rsid w:val="00DB7665"/>
    <w:rsid w:val="00DC23C9"/>
    <w:rsid w:val="00DC24D6"/>
    <w:rsid w:val="00DC285B"/>
    <w:rsid w:val="00DC293C"/>
    <w:rsid w:val="00DC309B"/>
    <w:rsid w:val="00DC3624"/>
    <w:rsid w:val="00DC3FD4"/>
    <w:rsid w:val="00DC417F"/>
    <w:rsid w:val="00DC4DA2"/>
    <w:rsid w:val="00DC5306"/>
    <w:rsid w:val="00DC590B"/>
    <w:rsid w:val="00DC5F65"/>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55F3"/>
    <w:rsid w:val="00DF6C23"/>
    <w:rsid w:val="00DF7852"/>
    <w:rsid w:val="00DF7A49"/>
    <w:rsid w:val="00E003DA"/>
    <w:rsid w:val="00E02647"/>
    <w:rsid w:val="00E02E71"/>
    <w:rsid w:val="00E031D2"/>
    <w:rsid w:val="00E03698"/>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3E4D"/>
    <w:rsid w:val="00E240EC"/>
    <w:rsid w:val="00E24C99"/>
    <w:rsid w:val="00E24FD1"/>
    <w:rsid w:val="00E251C0"/>
    <w:rsid w:val="00E2647C"/>
    <w:rsid w:val="00E26B08"/>
    <w:rsid w:val="00E2749F"/>
    <w:rsid w:val="00E30BB2"/>
    <w:rsid w:val="00E30C9D"/>
    <w:rsid w:val="00E3102B"/>
    <w:rsid w:val="00E32644"/>
    <w:rsid w:val="00E335D9"/>
    <w:rsid w:val="00E341C9"/>
    <w:rsid w:val="00E34B1B"/>
    <w:rsid w:val="00E34FFC"/>
    <w:rsid w:val="00E36407"/>
    <w:rsid w:val="00E374F5"/>
    <w:rsid w:val="00E375A2"/>
    <w:rsid w:val="00E3767B"/>
    <w:rsid w:val="00E404C7"/>
    <w:rsid w:val="00E4091C"/>
    <w:rsid w:val="00E41036"/>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73E"/>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1E2"/>
    <w:rsid w:val="00E75863"/>
    <w:rsid w:val="00E766BA"/>
    <w:rsid w:val="00E769D9"/>
    <w:rsid w:val="00E77645"/>
    <w:rsid w:val="00E77913"/>
    <w:rsid w:val="00E77CAB"/>
    <w:rsid w:val="00E80643"/>
    <w:rsid w:val="00E807AC"/>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1979"/>
    <w:rsid w:val="00EA21C8"/>
    <w:rsid w:val="00EA43F1"/>
    <w:rsid w:val="00EA5286"/>
    <w:rsid w:val="00EA545F"/>
    <w:rsid w:val="00EB128E"/>
    <w:rsid w:val="00EB2C6E"/>
    <w:rsid w:val="00EB33A2"/>
    <w:rsid w:val="00EB35B1"/>
    <w:rsid w:val="00EB4E44"/>
    <w:rsid w:val="00EB6764"/>
    <w:rsid w:val="00EB7D3D"/>
    <w:rsid w:val="00EB7D89"/>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1486"/>
    <w:rsid w:val="00ED33D9"/>
    <w:rsid w:val="00ED3AFF"/>
    <w:rsid w:val="00ED3B60"/>
    <w:rsid w:val="00ED5065"/>
    <w:rsid w:val="00ED5500"/>
    <w:rsid w:val="00ED5755"/>
    <w:rsid w:val="00ED5B16"/>
    <w:rsid w:val="00ED645E"/>
    <w:rsid w:val="00ED6C6D"/>
    <w:rsid w:val="00ED747E"/>
    <w:rsid w:val="00ED7640"/>
    <w:rsid w:val="00ED7BA2"/>
    <w:rsid w:val="00EE08E0"/>
    <w:rsid w:val="00EE0D6E"/>
    <w:rsid w:val="00EE18DB"/>
    <w:rsid w:val="00EE1FD5"/>
    <w:rsid w:val="00EE2114"/>
    <w:rsid w:val="00EE217F"/>
    <w:rsid w:val="00EE2A6A"/>
    <w:rsid w:val="00EE2AA2"/>
    <w:rsid w:val="00EE2B00"/>
    <w:rsid w:val="00EE34B4"/>
    <w:rsid w:val="00EE44AD"/>
    <w:rsid w:val="00EE4B58"/>
    <w:rsid w:val="00EE529A"/>
    <w:rsid w:val="00EE61C4"/>
    <w:rsid w:val="00EE6572"/>
    <w:rsid w:val="00EE6934"/>
    <w:rsid w:val="00EF102B"/>
    <w:rsid w:val="00EF32C8"/>
    <w:rsid w:val="00EF338F"/>
    <w:rsid w:val="00EF4CD1"/>
    <w:rsid w:val="00EF54D1"/>
    <w:rsid w:val="00EF5C1A"/>
    <w:rsid w:val="00EF77C1"/>
    <w:rsid w:val="00EF7B25"/>
    <w:rsid w:val="00F006C9"/>
    <w:rsid w:val="00F0103A"/>
    <w:rsid w:val="00F010D7"/>
    <w:rsid w:val="00F01B00"/>
    <w:rsid w:val="00F01E08"/>
    <w:rsid w:val="00F025A2"/>
    <w:rsid w:val="00F02CD0"/>
    <w:rsid w:val="00F0548C"/>
    <w:rsid w:val="00F05835"/>
    <w:rsid w:val="00F068B5"/>
    <w:rsid w:val="00F06CF7"/>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770"/>
    <w:rsid w:val="00F26C21"/>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0629"/>
    <w:rsid w:val="00F41AEF"/>
    <w:rsid w:val="00F42D3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AAD"/>
    <w:rsid w:val="00F53B29"/>
    <w:rsid w:val="00F53EAE"/>
    <w:rsid w:val="00F54A3D"/>
    <w:rsid w:val="00F54F7D"/>
    <w:rsid w:val="00F551F3"/>
    <w:rsid w:val="00F56223"/>
    <w:rsid w:val="00F56E3C"/>
    <w:rsid w:val="00F6046C"/>
    <w:rsid w:val="00F6219E"/>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3FB1"/>
    <w:rsid w:val="00F7453F"/>
    <w:rsid w:val="00F75113"/>
    <w:rsid w:val="00F75703"/>
    <w:rsid w:val="00F75733"/>
    <w:rsid w:val="00F765F4"/>
    <w:rsid w:val="00F768D5"/>
    <w:rsid w:val="00F76F8F"/>
    <w:rsid w:val="00F8001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EE7"/>
    <w:rsid w:val="00FA03FA"/>
    <w:rsid w:val="00FA074D"/>
    <w:rsid w:val="00FA0ED0"/>
    <w:rsid w:val="00FA1266"/>
    <w:rsid w:val="00FA24B9"/>
    <w:rsid w:val="00FA2B51"/>
    <w:rsid w:val="00FA3849"/>
    <w:rsid w:val="00FA4966"/>
    <w:rsid w:val="00FA4F41"/>
    <w:rsid w:val="00FA5626"/>
    <w:rsid w:val="00FA56F8"/>
    <w:rsid w:val="00FA63FF"/>
    <w:rsid w:val="00FA6579"/>
    <w:rsid w:val="00FA7D68"/>
    <w:rsid w:val="00FB05F2"/>
    <w:rsid w:val="00FB161A"/>
    <w:rsid w:val="00FB16A0"/>
    <w:rsid w:val="00FB27E1"/>
    <w:rsid w:val="00FB2FC2"/>
    <w:rsid w:val="00FB3E24"/>
    <w:rsid w:val="00FB445C"/>
    <w:rsid w:val="00FB5065"/>
    <w:rsid w:val="00FB5CA7"/>
    <w:rsid w:val="00FB6CAF"/>
    <w:rsid w:val="00FB7E5F"/>
    <w:rsid w:val="00FC1192"/>
    <w:rsid w:val="00FC1CE1"/>
    <w:rsid w:val="00FC240E"/>
    <w:rsid w:val="00FC3516"/>
    <w:rsid w:val="00FC3F06"/>
    <w:rsid w:val="00FC4365"/>
    <w:rsid w:val="00FC5AA6"/>
    <w:rsid w:val="00FC629F"/>
    <w:rsid w:val="00FC7D8A"/>
    <w:rsid w:val="00FD1F50"/>
    <w:rsid w:val="00FD2379"/>
    <w:rsid w:val="00FD2F21"/>
    <w:rsid w:val="00FD40D1"/>
    <w:rsid w:val="00FD4525"/>
    <w:rsid w:val="00FD479C"/>
    <w:rsid w:val="00FD4E66"/>
    <w:rsid w:val="00FD4EDD"/>
    <w:rsid w:val="00FD556C"/>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paragraph" w:customStyle="1" w:styleId="10">
    <w:name w:val="正文1"/>
    <w:rsid w:val="001A145C"/>
    <w:pPr>
      <w:jc w:val="both"/>
    </w:pPr>
    <w:rPr>
      <w:rFonts w:ascii="Calibri" w:hAnsi="Calibri" w:cs="Calibri"/>
      <w:kern w:val="2"/>
      <w:sz w:val="21"/>
      <w:szCs w:val="21"/>
      <w:lang w:val="en-US" w:eastAsia="zh-CN"/>
    </w:rPr>
  </w:style>
  <w:style w:type="character" w:customStyle="1" w:styleId="15">
    <w:name w:val="15"/>
    <w:rsid w:val="004F47A3"/>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6326351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10246208">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26148215">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79143593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2278865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4803</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6863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1357</cp:revision>
  <dcterms:created xsi:type="dcterms:W3CDTF">2022-07-29T03:01:00Z</dcterms:created>
  <dcterms:modified xsi:type="dcterms:W3CDTF">2023-05-12T08:52:00Z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